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DB1AC" w14:textId="0136323A" w:rsidR="006B087E" w:rsidRPr="00F92EAE" w:rsidRDefault="008660A9" w:rsidP="008660A9">
      <w:pPr>
        <w:pStyle w:val="Pagedecouverture"/>
        <w:rPr>
          <w:noProof/>
        </w:rPr>
      </w:pPr>
      <w:bookmarkStart w:id="0" w:name="LW_BM_COVERPAGE"/>
      <w:r>
        <w:rPr>
          <w:noProof/>
        </w:rPr>
        <w:pict w14:anchorId="6A70A4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DC423F8-B34E-43F7-B1CA-9C74C4D44313" style="width:455.25pt;height:450.75pt">
            <v:imagedata r:id="rId11" o:title=""/>
          </v:shape>
        </w:pict>
      </w:r>
    </w:p>
    <w:bookmarkEnd w:id="0"/>
    <w:p w14:paraId="63260D17" w14:textId="77777777" w:rsidR="006B087E" w:rsidRPr="00F92EAE" w:rsidRDefault="006B087E" w:rsidP="000E3086">
      <w:pPr>
        <w:pStyle w:val="TOCHeading"/>
        <w:rPr>
          <w:noProof/>
        </w:rPr>
        <w:sectPr w:rsidR="006B087E" w:rsidRPr="00F92EAE" w:rsidSect="008660A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45D12411" w14:textId="77777777" w:rsidR="006B087E" w:rsidRPr="00F92EAE" w:rsidRDefault="006B087E" w:rsidP="000E3086">
      <w:pPr>
        <w:pStyle w:val="TOCHeading"/>
        <w:rPr>
          <w:noProof/>
        </w:rPr>
      </w:pPr>
      <w:bookmarkStart w:id="1" w:name="_GoBack"/>
      <w:bookmarkEnd w:id="1"/>
      <w:r w:rsidRPr="00F92EAE">
        <w:rPr>
          <w:noProof/>
        </w:rPr>
        <w:lastRenderedPageBreak/>
        <w:t>Table of contents</w:t>
      </w:r>
    </w:p>
    <w:p w14:paraId="07E25E5D" w14:textId="5711624A" w:rsidR="00B21F53" w:rsidRDefault="006B087E">
      <w:pPr>
        <w:pStyle w:val="TOC1"/>
        <w:rPr>
          <w:rFonts w:asciiTheme="minorHAnsi" w:eastAsiaTheme="minorEastAsia" w:hAnsiTheme="minorHAnsi" w:cstheme="minorBidi"/>
          <w:caps w:val="0"/>
          <w:noProof/>
          <w:kern w:val="2"/>
          <w:sz w:val="24"/>
          <w:szCs w:val="24"/>
          <w:lang w:val="en-IE" w:eastAsia="en-IE"/>
          <w14:ligatures w14:val="standardContextual"/>
        </w:rPr>
      </w:pPr>
      <w:r w:rsidRPr="00F92EAE">
        <w:rPr>
          <w:noProof/>
        </w:rPr>
        <w:fldChar w:fldCharType="begin"/>
      </w:r>
      <w:r w:rsidRPr="00F92EAE">
        <w:rPr>
          <w:noProof/>
        </w:rPr>
        <w:instrText xml:space="preserve"> TOC \o "1-1" \h \z \t "Heading 2;2;Heading 3;3;Annex Title;1" </w:instrText>
      </w:r>
      <w:r w:rsidRPr="00F92EAE">
        <w:rPr>
          <w:noProof/>
        </w:rPr>
        <w:fldChar w:fldCharType="separate"/>
      </w:r>
      <w:hyperlink w:anchor="_Toc219390710" w:history="1">
        <w:r w:rsidR="00B21F53" w:rsidRPr="00AA061A">
          <w:rPr>
            <w:rStyle w:val="Hyperlink"/>
            <w:noProof/>
            <w:lang w:val="en-IE"/>
          </w:rPr>
          <w:t>Annex 1: Procedural information</w:t>
        </w:r>
        <w:r w:rsidR="00B21F53">
          <w:rPr>
            <w:noProof/>
            <w:webHidden/>
          </w:rPr>
          <w:tab/>
        </w:r>
        <w:r w:rsidR="00B21F53">
          <w:rPr>
            <w:noProof/>
            <w:webHidden/>
          </w:rPr>
          <w:fldChar w:fldCharType="begin"/>
        </w:r>
        <w:r w:rsidR="00B21F53">
          <w:rPr>
            <w:noProof/>
            <w:webHidden/>
          </w:rPr>
          <w:instrText xml:space="preserve"> PAGEREF _Toc219390710 \h </w:instrText>
        </w:r>
        <w:r w:rsidR="00B21F53">
          <w:rPr>
            <w:noProof/>
            <w:webHidden/>
          </w:rPr>
        </w:r>
        <w:r w:rsidR="00B21F53">
          <w:rPr>
            <w:noProof/>
            <w:webHidden/>
          </w:rPr>
          <w:fldChar w:fldCharType="separate"/>
        </w:r>
        <w:r w:rsidR="004068FA">
          <w:rPr>
            <w:noProof/>
            <w:webHidden/>
          </w:rPr>
          <w:t>2</w:t>
        </w:r>
        <w:r w:rsidR="00B21F53">
          <w:rPr>
            <w:noProof/>
            <w:webHidden/>
          </w:rPr>
          <w:fldChar w:fldCharType="end"/>
        </w:r>
      </w:hyperlink>
    </w:p>
    <w:p w14:paraId="124AC7EA" w14:textId="2EBF60EA"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11" w:history="1">
        <w:r w:rsidR="00B21F53" w:rsidRPr="00AA061A">
          <w:rPr>
            <w:rStyle w:val="Hyperlink"/>
            <w:noProof/>
            <w:lang w:val="en-IE"/>
          </w:rPr>
          <w:t>1.</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lang w:val="en-IE"/>
          </w:rPr>
          <w:t>Lead DG, Decide Planning/CWP references</w:t>
        </w:r>
        <w:r w:rsidR="00B21F53">
          <w:rPr>
            <w:noProof/>
            <w:webHidden/>
          </w:rPr>
          <w:tab/>
        </w:r>
        <w:r w:rsidR="00B21F53">
          <w:rPr>
            <w:noProof/>
            <w:webHidden/>
          </w:rPr>
          <w:fldChar w:fldCharType="begin"/>
        </w:r>
        <w:r w:rsidR="00B21F53">
          <w:rPr>
            <w:noProof/>
            <w:webHidden/>
          </w:rPr>
          <w:instrText xml:space="preserve"> PAGEREF _Toc219390711 \h </w:instrText>
        </w:r>
        <w:r w:rsidR="00B21F53">
          <w:rPr>
            <w:noProof/>
            <w:webHidden/>
          </w:rPr>
        </w:r>
        <w:r w:rsidR="00B21F53">
          <w:rPr>
            <w:noProof/>
            <w:webHidden/>
          </w:rPr>
          <w:fldChar w:fldCharType="separate"/>
        </w:r>
        <w:r w:rsidR="004068FA">
          <w:rPr>
            <w:noProof/>
            <w:webHidden/>
          </w:rPr>
          <w:t>2</w:t>
        </w:r>
        <w:r w:rsidR="00B21F53">
          <w:rPr>
            <w:noProof/>
            <w:webHidden/>
          </w:rPr>
          <w:fldChar w:fldCharType="end"/>
        </w:r>
      </w:hyperlink>
    </w:p>
    <w:p w14:paraId="59E42357" w14:textId="363A3B17"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12" w:history="1">
        <w:r w:rsidR="00B21F53" w:rsidRPr="00AA061A">
          <w:rPr>
            <w:rStyle w:val="Hyperlink"/>
            <w:noProof/>
            <w:lang w:val="en-IE"/>
          </w:rPr>
          <w:t>2.</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lang w:val="en-IE"/>
          </w:rPr>
          <w:t>Organisation and timing</w:t>
        </w:r>
        <w:r w:rsidR="00B21F53">
          <w:rPr>
            <w:noProof/>
            <w:webHidden/>
          </w:rPr>
          <w:tab/>
        </w:r>
        <w:r w:rsidR="00B21F53">
          <w:rPr>
            <w:noProof/>
            <w:webHidden/>
          </w:rPr>
          <w:fldChar w:fldCharType="begin"/>
        </w:r>
        <w:r w:rsidR="00B21F53">
          <w:rPr>
            <w:noProof/>
            <w:webHidden/>
          </w:rPr>
          <w:instrText xml:space="preserve"> PAGEREF _Toc219390712 \h </w:instrText>
        </w:r>
        <w:r w:rsidR="00B21F53">
          <w:rPr>
            <w:noProof/>
            <w:webHidden/>
          </w:rPr>
        </w:r>
        <w:r w:rsidR="00B21F53">
          <w:rPr>
            <w:noProof/>
            <w:webHidden/>
          </w:rPr>
          <w:fldChar w:fldCharType="separate"/>
        </w:r>
        <w:r w:rsidR="004068FA">
          <w:rPr>
            <w:noProof/>
            <w:webHidden/>
          </w:rPr>
          <w:t>2</w:t>
        </w:r>
        <w:r w:rsidR="00B21F53">
          <w:rPr>
            <w:noProof/>
            <w:webHidden/>
          </w:rPr>
          <w:fldChar w:fldCharType="end"/>
        </w:r>
      </w:hyperlink>
    </w:p>
    <w:p w14:paraId="202C9773" w14:textId="725E3586"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13" w:history="1">
        <w:r w:rsidR="00B21F53" w:rsidRPr="00AA061A">
          <w:rPr>
            <w:rStyle w:val="Hyperlink"/>
            <w:noProof/>
            <w:lang w:val="en-IE"/>
          </w:rPr>
          <w:t>3.</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lang w:val="en-IE"/>
          </w:rPr>
          <w:t>Consultation of the RSB</w:t>
        </w:r>
        <w:r w:rsidR="00B21F53">
          <w:rPr>
            <w:noProof/>
            <w:webHidden/>
          </w:rPr>
          <w:tab/>
        </w:r>
        <w:r w:rsidR="00B21F53">
          <w:rPr>
            <w:noProof/>
            <w:webHidden/>
          </w:rPr>
          <w:fldChar w:fldCharType="begin"/>
        </w:r>
        <w:r w:rsidR="00B21F53">
          <w:rPr>
            <w:noProof/>
            <w:webHidden/>
          </w:rPr>
          <w:instrText xml:space="preserve"> PAGEREF _Toc219390713 \h </w:instrText>
        </w:r>
        <w:r w:rsidR="00B21F53">
          <w:rPr>
            <w:noProof/>
            <w:webHidden/>
          </w:rPr>
        </w:r>
        <w:r w:rsidR="00B21F53">
          <w:rPr>
            <w:noProof/>
            <w:webHidden/>
          </w:rPr>
          <w:fldChar w:fldCharType="separate"/>
        </w:r>
        <w:r w:rsidR="004068FA">
          <w:rPr>
            <w:noProof/>
            <w:webHidden/>
          </w:rPr>
          <w:t>2</w:t>
        </w:r>
        <w:r w:rsidR="00B21F53">
          <w:rPr>
            <w:noProof/>
            <w:webHidden/>
          </w:rPr>
          <w:fldChar w:fldCharType="end"/>
        </w:r>
      </w:hyperlink>
    </w:p>
    <w:p w14:paraId="69BADE42" w14:textId="3EFF41FE"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14" w:history="1">
        <w:r w:rsidR="00B21F53" w:rsidRPr="00AA061A">
          <w:rPr>
            <w:rStyle w:val="Hyperlink"/>
            <w:noProof/>
          </w:rPr>
          <w:t>4.</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rPr>
          <w:t>Evidence, sources and quality</w:t>
        </w:r>
        <w:r w:rsidR="00B21F53">
          <w:rPr>
            <w:noProof/>
            <w:webHidden/>
          </w:rPr>
          <w:tab/>
        </w:r>
        <w:r w:rsidR="00B21F53">
          <w:rPr>
            <w:noProof/>
            <w:webHidden/>
          </w:rPr>
          <w:fldChar w:fldCharType="begin"/>
        </w:r>
        <w:r w:rsidR="00B21F53">
          <w:rPr>
            <w:noProof/>
            <w:webHidden/>
          </w:rPr>
          <w:instrText xml:space="preserve"> PAGEREF _Toc219390714 \h </w:instrText>
        </w:r>
        <w:r w:rsidR="00B21F53">
          <w:rPr>
            <w:noProof/>
            <w:webHidden/>
          </w:rPr>
        </w:r>
        <w:r w:rsidR="00B21F53">
          <w:rPr>
            <w:noProof/>
            <w:webHidden/>
          </w:rPr>
          <w:fldChar w:fldCharType="separate"/>
        </w:r>
        <w:r w:rsidR="004068FA">
          <w:rPr>
            <w:noProof/>
            <w:webHidden/>
          </w:rPr>
          <w:t>2</w:t>
        </w:r>
        <w:r w:rsidR="00B21F53">
          <w:rPr>
            <w:noProof/>
            <w:webHidden/>
          </w:rPr>
          <w:fldChar w:fldCharType="end"/>
        </w:r>
      </w:hyperlink>
    </w:p>
    <w:p w14:paraId="40ED6EC1" w14:textId="73A4D5DA"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15" w:history="1">
        <w:r w:rsidR="00B21F53" w:rsidRPr="00AA061A">
          <w:rPr>
            <w:rStyle w:val="Hyperlink"/>
            <w:noProof/>
            <w:lang w:val="en-IE"/>
          </w:rPr>
          <w:t>Annex 2: Stakeholder consultation (Synopsis report)</w:t>
        </w:r>
        <w:r w:rsidR="00B21F53">
          <w:rPr>
            <w:noProof/>
            <w:webHidden/>
          </w:rPr>
          <w:tab/>
        </w:r>
        <w:r w:rsidR="00B21F53">
          <w:rPr>
            <w:noProof/>
            <w:webHidden/>
          </w:rPr>
          <w:fldChar w:fldCharType="begin"/>
        </w:r>
        <w:r w:rsidR="00B21F53">
          <w:rPr>
            <w:noProof/>
            <w:webHidden/>
          </w:rPr>
          <w:instrText xml:space="preserve"> PAGEREF _Toc219390715 \h </w:instrText>
        </w:r>
        <w:r w:rsidR="00B21F53">
          <w:rPr>
            <w:noProof/>
            <w:webHidden/>
          </w:rPr>
        </w:r>
        <w:r w:rsidR="00B21F53">
          <w:rPr>
            <w:noProof/>
            <w:webHidden/>
          </w:rPr>
          <w:fldChar w:fldCharType="separate"/>
        </w:r>
        <w:r w:rsidR="004068FA">
          <w:rPr>
            <w:noProof/>
            <w:webHidden/>
          </w:rPr>
          <w:t>6</w:t>
        </w:r>
        <w:r w:rsidR="00B21F53">
          <w:rPr>
            <w:noProof/>
            <w:webHidden/>
          </w:rPr>
          <w:fldChar w:fldCharType="end"/>
        </w:r>
      </w:hyperlink>
    </w:p>
    <w:p w14:paraId="6FBEC7B7" w14:textId="2806F628"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16" w:history="1">
        <w:r w:rsidR="00B21F53" w:rsidRPr="00AA061A">
          <w:rPr>
            <w:rStyle w:val="Hyperlink"/>
            <w:noProof/>
            <w:lang w:val="en-IE"/>
          </w:rPr>
          <w:t>1.</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lang w:val="en-IE"/>
          </w:rPr>
          <w:t>Consultation activities and sources of information</w:t>
        </w:r>
        <w:r w:rsidR="00B21F53">
          <w:rPr>
            <w:noProof/>
            <w:webHidden/>
          </w:rPr>
          <w:tab/>
        </w:r>
        <w:r w:rsidR="00B21F53">
          <w:rPr>
            <w:noProof/>
            <w:webHidden/>
          </w:rPr>
          <w:fldChar w:fldCharType="begin"/>
        </w:r>
        <w:r w:rsidR="00B21F53">
          <w:rPr>
            <w:noProof/>
            <w:webHidden/>
          </w:rPr>
          <w:instrText xml:space="preserve"> PAGEREF _Toc219390716 \h </w:instrText>
        </w:r>
        <w:r w:rsidR="00B21F53">
          <w:rPr>
            <w:noProof/>
            <w:webHidden/>
          </w:rPr>
        </w:r>
        <w:r w:rsidR="00B21F53">
          <w:rPr>
            <w:noProof/>
            <w:webHidden/>
          </w:rPr>
          <w:fldChar w:fldCharType="separate"/>
        </w:r>
        <w:r w:rsidR="004068FA">
          <w:rPr>
            <w:noProof/>
            <w:webHidden/>
          </w:rPr>
          <w:t>6</w:t>
        </w:r>
        <w:r w:rsidR="00B21F53">
          <w:rPr>
            <w:noProof/>
            <w:webHidden/>
          </w:rPr>
          <w:fldChar w:fldCharType="end"/>
        </w:r>
      </w:hyperlink>
    </w:p>
    <w:p w14:paraId="05009D03" w14:textId="52E00852"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17" w:history="1">
        <w:r w:rsidR="00B21F53" w:rsidRPr="00AA061A">
          <w:rPr>
            <w:rStyle w:val="Hyperlink"/>
            <w:noProof/>
            <w:lang w:val="en-IE"/>
          </w:rPr>
          <w:t>2.</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lang w:val="en-IE"/>
          </w:rPr>
          <w:t>Results of the consultation activities</w:t>
        </w:r>
        <w:r w:rsidR="00B21F53">
          <w:rPr>
            <w:noProof/>
            <w:webHidden/>
          </w:rPr>
          <w:tab/>
        </w:r>
        <w:r w:rsidR="00B21F53">
          <w:rPr>
            <w:noProof/>
            <w:webHidden/>
          </w:rPr>
          <w:fldChar w:fldCharType="begin"/>
        </w:r>
        <w:r w:rsidR="00B21F53">
          <w:rPr>
            <w:noProof/>
            <w:webHidden/>
          </w:rPr>
          <w:instrText xml:space="preserve"> PAGEREF _Toc219390717 \h </w:instrText>
        </w:r>
        <w:r w:rsidR="00B21F53">
          <w:rPr>
            <w:noProof/>
            <w:webHidden/>
          </w:rPr>
        </w:r>
        <w:r w:rsidR="00B21F53">
          <w:rPr>
            <w:noProof/>
            <w:webHidden/>
          </w:rPr>
          <w:fldChar w:fldCharType="separate"/>
        </w:r>
        <w:r w:rsidR="004068FA">
          <w:rPr>
            <w:noProof/>
            <w:webHidden/>
          </w:rPr>
          <w:t>10</w:t>
        </w:r>
        <w:r w:rsidR="00B21F53">
          <w:rPr>
            <w:noProof/>
            <w:webHidden/>
          </w:rPr>
          <w:fldChar w:fldCharType="end"/>
        </w:r>
      </w:hyperlink>
    </w:p>
    <w:p w14:paraId="0394345D" w14:textId="1DEDD52C"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18" w:history="1">
        <w:r w:rsidR="00B21F53" w:rsidRPr="00AA061A">
          <w:rPr>
            <w:rStyle w:val="Hyperlink"/>
            <w:noProof/>
          </w:rPr>
          <w:t>3.</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rPr>
          <w:t>Feedback from the call for evidence</w:t>
        </w:r>
        <w:r w:rsidR="00B21F53">
          <w:rPr>
            <w:noProof/>
            <w:webHidden/>
          </w:rPr>
          <w:tab/>
        </w:r>
        <w:r w:rsidR="00B21F53">
          <w:rPr>
            <w:noProof/>
            <w:webHidden/>
          </w:rPr>
          <w:fldChar w:fldCharType="begin"/>
        </w:r>
        <w:r w:rsidR="00B21F53">
          <w:rPr>
            <w:noProof/>
            <w:webHidden/>
          </w:rPr>
          <w:instrText xml:space="preserve"> PAGEREF _Toc219390718 \h </w:instrText>
        </w:r>
        <w:r w:rsidR="00B21F53">
          <w:rPr>
            <w:noProof/>
            <w:webHidden/>
          </w:rPr>
        </w:r>
        <w:r w:rsidR="00B21F53">
          <w:rPr>
            <w:noProof/>
            <w:webHidden/>
          </w:rPr>
          <w:fldChar w:fldCharType="separate"/>
        </w:r>
        <w:r w:rsidR="004068FA">
          <w:rPr>
            <w:noProof/>
            <w:webHidden/>
          </w:rPr>
          <w:t>25</w:t>
        </w:r>
        <w:r w:rsidR="00B21F53">
          <w:rPr>
            <w:noProof/>
            <w:webHidden/>
          </w:rPr>
          <w:fldChar w:fldCharType="end"/>
        </w:r>
      </w:hyperlink>
    </w:p>
    <w:p w14:paraId="67A99712" w14:textId="51176754"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19" w:history="1">
        <w:r w:rsidR="00B21F53" w:rsidRPr="00AA061A">
          <w:rPr>
            <w:rStyle w:val="Hyperlink"/>
            <w:noProof/>
          </w:rPr>
          <w:t>4.</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rPr>
          <w:t>Main content of the draft JURI own-initiative report</w:t>
        </w:r>
        <w:r w:rsidR="00B21F53">
          <w:rPr>
            <w:noProof/>
            <w:webHidden/>
          </w:rPr>
          <w:tab/>
        </w:r>
        <w:r w:rsidR="00B21F53">
          <w:rPr>
            <w:noProof/>
            <w:webHidden/>
          </w:rPr>
          <w:fldChar w:fldCharType="begin"/>
        </w:r>
        <w:r w:rsidR="00B21F53">
          <w:rPr>
            <w:noProof/>
            <w:webHidden/>
          </w:rPr>
          <w:instrText xml:space="preserve"> PAGEREF _Toc219390719 \h </w:instrText>
        </w:r>
        <w:r w:rsidR="00B21F53">
          <w:rPr>
            <w:noProof/>
            <w:webHidden/>
          </w:rPr>
        </w:r>
        <w:r w:rsidR="00B21F53">
          <w:rPr>
            <w:noProof/>
            <w:webHidden/>
          </w:rPr>
          <w:fldChar w:fldCharType="separate"/>
        </w:r>
        <w:r w:rsidR="004068FA">
          <w:rPr>
            <w:noProof/>
            <w:webHidden/>
          </w:rPr>
          <w:t>27</w:t>
        </w:r>
        <w:r w:rsidR="00B21F53">
          <w:rPr>
            <w:noProof/>
            <w:webHidden/>
          </w:rPr>
          <w:fldChar w:fldCharType="end"/>
        </w:r>
      </w:hyperlink>
    </w:p>
    <w:p w14:paraId="70156BB9" w14:textId="07852B2A"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20" w:history="1">
        <w:r w:rsidR="00B21F53" w:rsidRPr="00AA061A">
          <w:rPr>
            <w:rStyle w:val="Hyperlink"/>
            <w:noProof/>
            <w:lang w:val="en-IE"/>
          </w:rPr>
          <w:t>Annex 3: Who is affected and how?</w:t>
        </w:r>
        <w:r w:rsidR="00B21F53">
          <w:rPr>
            <w:noProof/>
            <w:webHidden/>
          </w:rPr>
          <w:tab/>
        </w:r>
        <w:r w:rsidR="00B21F53">
          <w:rPr>
            <w:noProof/>
            <w:webHidden/>
          </w:rPr>
          <w:fldChar w:fldCharType="begin"/>
        </w:r>
        <w:r w:rsidR="00B21F53">
          <w:rPr>
            <w:noProof/>
            <w:webHidden/>
          </w:rPr>
          <w:instrText xml:space="preserve"> PAGEREF _Toc219390720 \h </w:instrText>
        </w:r>
        <w:r w:rsidR="00B21F53">
          <w:rPr>
            <w:noProof/>
            <w:webHidden/>
          </w:rPr>
        </w:r>
        <w:r w:rsidR="00B21F53">
          <w:rPr>
            <w:noProof/>
            <w:webHidden/>
          </w:rPr>
          <w:fldChar w:fldCharType="separate"/>
        </w:r>
        <w:r w:rsidR="004068FA">
          <w:rPr>
            <w:noProof/>
            <w:webHidden/>
          </w:rPr>
          <w:t>30</w:t>
        </w:r>
        <w:r w:rsidR="00B21F53">
          <w:rPr>
            <w:noProof/>
            <w:webHidden/>
          </w:rPr>
          <w:fldChar w:fldCharType="end"/>
        </w:r>
      </w:hyperlink>
    </w:p>
    <w:p w14:paraId="00D27E6A" w14:textId="0DA422E8"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21" w:history="1">
        <w:r w:rsidR="00B21F53" w:rsidRPr="00AA061A">
          <w:rPr>
            <w:rStyle w:val="Hyperlink"/>
            <w:noProof/>
            <w:lang w:val="en-IE"/>
          </w:rPr>
          <w:t>1.</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lang w:val="en-IE"/>
          </w:rPr>
          <w:t>Practical implications of the initiative</w:t>
        </w:r>
        <w:r w:rsidR="00B21F53">
          <w:rPr>
            <w:noProof/>
            <w:webHidden/>
          </w:rPr>
          <w:tab/>
        </w:r>
        <w:r w:rsidR="00B21F53">
          <w:rPr>
            <w:noProof/>
            <w:webHidden/>
          </w:rPr>
          <w:fldChar w:fldCharType="begin"/>
        </w:r>
        <w:r w:rsidR="00B21F53">
          <w:rPr>
            <w:noProof/>
            <w:webHidden/>
          </w:rPr>
          <w:instrText xml:space="preserve"> PAGEREF _Toc219390721 \h </w:instrText>
        </w:r>
        <w:r w:rsidR="00B21F53">
          <w:rPr>
            <w:noProof/>
            <w:webHidden/>
          </w:rPr>
        </w:r>
        <w:r w:rsidR="00B21F53">
          <w:rPr>
            <w:noProof/>
            <w:webHidden/>
          </w:rPr>
          <w:fldChar w:fldCharType="separate"/>
        </w:r>
        <w:r w:rsidR="004068FA">
          <w:rPr>
            <w:noProof/>
            <w:webHidden/>
          </w:rPr>
          <w:t>30</w:t>
        </w:r>
        <w:r w:rsidR="00B21F53">
          <w:rPr>
            <w:noProof/>
            <w:webHidden/>
          </w:rPr>
          <w:fldChar w:fldCharType="end"/>
        </w:r>
      </w:hyperlink>
    </w:p>
    <w:p w14:paraId="264852B2" w14:textId="49248479"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22" w:history="1">
        <w:r w:rsidR="00B21F53" w:rsidRPr="00AA061A">
          <w:rPr>
            <w:rStyle w:val="Hyperlink"/>
            <w:noProof/>
            <w:lang w:val="en-IE"/>
          </w:rPr>
          <w:t>2.</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lang w:val="en-IE"/>
          </w:rPr>
          <w:t>Summary of costs and benefits</w:t>
        </w:r>
        <w:r w:rsidR="00B21F53">
          <w:rPr>
            <w:noProof/>
            <w:webHidden/>
          </w:rPr>
          <w:tab/>
        </w:r>
        <w:r w:rsidR="00B21F53">
          <w:rPr>
            <w:noProof/>
            <w:webHidden/>
          </w:rPr>
          <w:fldChar w:fldCharType="begin"/>
        </w:r>
        <w:r w:rsidR="00B21F53">
          <w:rPr>
            <w:noProof/>
            <w:webHidden/>
          </w:rPr>
          <w:instrText xml:space="preserve"> PAGEREF _Toc219390722 \h </w:instrText>
        </w:r>
        <w:r w:rsidR="00B21F53">
          <w:rPr>
            <w:noProof/>
            <w:webHidden/>
          </w:rPr>
        </w:r>
        <w:r w:rsidR="00B21F53">
          <w:rPr>
            <w:noProof/>
            <w:webHidden/>
          </w:rPr>
          <w:fldChar w:fldCharType="separate"/>
        </w:r>
        <w:r w:rsidR="004068FA">
          <w:rPr>
            <w:noProof/>
            <w:webHidden/>
          </w:rPr>
          <w:t>31</w:t>
        </w:r>
        <w:r w:rsidR="00B21F53">
          <w:rPr>
            <w:noProof/>
            <w:webHidden/>
          </w:rPr>
          <w:fldChar w:fldCharType="end"/>
        </w:r>
      </w:hyperlink>
    </w:p>
    <w:p w14:paraId="3F993442" w14:textId="70749842"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23" w:history="1">
        <w:r w:rsidR="00B21F53" w:rsidRPr="00AA061A">
          <w:rPr>
            <w:rStyle w:val="Hyperlink"/>
            <w:noProof/>
            <w:lang w:val="en-IE"/>
          </w:rPr>
          <w:t>3.</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lang w:val="en-IE"/>
          </w:rPr>
          <w:t>Relevant sustainable development goals</w:t>
        </w:r>
        <w:r w:rsidR="00B21F53">
          <w:rPr>
            <w:noProof/>
            <w:webHidden/>
          </w:rPr>
          <w:tab/>
        </w:r>
        <w:r w:rsidR="00B21F53">
          <w:rPr>
            <w:noProof/>
            <w:webHidden/>
          </w:rPr>
          <w:fldChar w:fldCharType="begin"/>
        </w:r>
        <w:r w:rsidR="00B21F53">
          <w:rPr>
            <w:noProof/>
            <w:webHidden/>
          </w:rPr>
          <w:instrText xml:space="preserve"> PAGEREF _Toc219390723 \h </w:instrText>
        </w:r>
        <w:r w:rsidR="00B21F53">
          <w:rPr>
            <w:noProof/>
            <w:webHidden/>
          </w:rPr>
        </w:r>
        <w:r w:rsidR="00B21F53">
          <w:rPr>
            <w:noProof/>
            <w:webHidden/>
          </w:rPr>
          <w:fldChar w:fldCharType="separate"/>
        </w:r>
        <w:r w:rsidR="004068FA">
          <w:rPr>
            <w:noProof/>
            <w:webHidden/>
          </w:rPr>
          <w:t>34</w:t>
        </w:r>
        <w:r w:rsidR="00B21F53">
          <w:rPr>
            <w:noProof/>
            <w:webHidden/>
          </w:rPr>
          <w:fldChar w:fldCharType="end"/>
        </w:r>
      </w:hyperlink>
    </w:p>
    <w:p w14:paraId="737692CA" w14:textId="1DE93A84"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24" w:history="1">
        <w:r w:rsidR="00B21F53" w:rsidRPr="00AA061A">
          <w:rPr>
            <w:rStyle w:val="Hyperlink"/>
            <w:noProof/>
            <w:lang w:val="en-IE"/>
          </w:rPr>
          <w:t>Annex 4: Analytical methods</w:t>
        </w:r>
        <w:r w:rsidR="00B21F53">
          <w:rPr>
            <w:noProof/>
            <w:webHidden/>
          </w:rPr>
          <w:tab/>
        </w:r>
        <w:r w:rsidR="00B21F53">
          <w:rPr>
            <w:noProof/>
            <w:webHidden/>
          </w:rPr>
          <w:fldChar w:fldCharType="begin"/>
        </w:r>
        <w:r w:rsidR="00B21F53">
          <w:rPr>
            <w:noProof/>
            <w:webHidden/>
          </w:rPr>
          <w:instrText xml:space="preserve"> PAGEREF _Toc219390724 \h </w:instrText>
        </w:r>
        <w:r w:rsidR="00B21F53">
          <w:rPr>
            <w:noProof/>
            <w:webHidden/>
          </w:rPr>
        </w:r>
        <w:r w:rsidR="00B21F53">
          <w:rPr>
            <w:noProof/>
            <w:webHidden/>
          </w:rPr>
          <w:fldChar w:fldCharType="separate"/>
        </w:r>
        <w:r w:rsidR="004068FA">
          <w:rPr>
            <w:noProof/>
            <w:webHidden/>
          </w:rPr>
          <w:t>35</w:t>
        </w:r>
        <w:r w:rsidR="00B21F53">
          <w:rPr>
            <w:noProof/>
            <w:webHidden/>
          </w:rPr>
          <w:fldChar w:fldCharType="end"/>
        </w:r>
      </w:hyperlink>
    </w:p>
    <w:p w14:paraId="26EA4A91" w14:textId="3AF9DCAD"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25" w:history="1">
        <w:r w:rsidR="00B21F53" w:rsidRPr="00AA061A">
          <w:rPr>
            <w:rStyle w:val="Hyperlink"/>
            <w:noProof/>
            <w:lang w:val="en-IE"/>
          </w:rPr>
          <w:t>Annex 5: Competitiveness check</w:t>
        </w:r>
        <w:r w:rsidR="00B21F53">
          <w:rPr>
            <w:noProof/>
            <w:webHidden/>
          </w:rPr>
          <w:tab/>
        </w:r>
        <w:r w:rsidR="00B21F53">
          <w:rPr>
            <w:noProof/>
            <w:webHidden/>
          </w:rPr>
          <w:fldChar w:fldCharType="begin"/>
        </w:r>
        <w:r w:rsidR="00B21F53">
          <w:rPr>
            <w:noProof/>
            <w:webHidden/>
          </w:rPr>
          <w:instrText xml:space="preserve"> PAGEREF _Toc219390725 \h </w:instrText>
        </w:r>
        <w:r w:rsidR="00B21F53">
          <w:rPr>
            <w:noProof/>
            <w:webHidden/>
          </w:rPr>
        </w:r>
        <w:r w:rsidR="00B21F53">
          <w:rPr>
            <w:noProof/>
            <w:webHidden/>
          </w:rPr>
          <w:fldChar w:fldCharType="separate"/>
        </w:r>
        <w:r w:rsidR="004068FA">
          <w:rPr>
            <w:noProof/>
            <w:webHidden/>
          </w:rPr>
          <w:t>36</w:t>
        </w:r>
        <w:r w:rsidR="00B21F53">
          <w:rPr>
            <w:noProof/>
            <w:webHidden/>
          </w:rPr>
          <w:fldChar w:fldCharType="end"/>
        </w:r>
      </w:hyperlink>
    </w:p>
    <w:p w14:paraId="053B67D5" w14:textId="219A0E5D"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26" w:history="1">
        <w:r w:rsidR="00B21F53" w:rsidRPr="00AA061A">
          <w:rPr>
            <w:rStyle w:val="Hyperlink"/>
            <w:noProof/>
            <w:lang w:val="en-IE"/>
          </w:rPr>
          <w:t>1.</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lang w:val="en-IE"/>
          </w:rPr>
          <w:t>Overview of impacts on competitiveness</w:t>
        </w:r>
        <w:r w:rsidR="00B21F53">
          <w:rPr>
            <w:noProof/>
            <w:webHidden/>
          </w:rPr>
          <w:tab/>
        </w:r>
        <w:r w:rsidR="00B21F53">
          <w:rPr>
            <w:noProof/>
            <w:webHidden/>
          </w:rPr>
          <w:fldChar w:fldCharType="begin"/>
        </w:r>
        <w:r w:rsidR="00B21F53">
          <w:rPr>
            <w:noProof/>
            <w:webHidden/>
          </w:rPr>
          <w:instrText xml:space="preserve"> PAGEREF _Toc219390726 \h </w:instrText>
        </w:r>
        <w:r w:rsidR="00B21F53">
          <w:rPr>
            <w:noProof/>
            <w:webHidden/>
          </w:rPr>
        </w:r>
        <w:r w:rsidR="00B21F53">
          <w:rPr>
            <w:noProof/>
            <w:webHidden/>
          </w:rPr>
          <w:fldChar w:fldCharType="separate"/>
        </w:r>
        <w:r w:rsidR="004068FA">
          <w:rPr>
            <w:noProof/>
            <w:webHidden/>
          </w:rPr>
          <w:t>36</w:t>
        </w:r>
        <w:r w:rsidR="00B21F53">
          <w:rPr>
            <w:noProof/>
            <w:webHidden/>
          </w:rPr>
          <w:fldChar w:fldCharType="end"/>
        </w:r>
      </w:hyperlink>
    </w:p>
    <w:p w14:paraId="530B10F9" w14:textId="7B7FCBA2"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27" w:history="1">
        <w:r w:rsidR="00B21F53" w:rsidRPr="00AA061A">
          <w:rPr>
            <w:rStyle w:val="Hyperlink"/>
            <w:noProof/>
            <w:lang w:val="en-IE"/>
          </w:rPr>
          <w:t>2.</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lang w:val="en-IE"/>
          </w:rPr>
          <w:t>Synthetic assessment</w:t>
        </w:r>
        <w:r w:rsidR="00B21F53">
          <w:rPr>
            <w:noProof/>
            <w:webHidden/>
          </w:rPr>
          <w:tab/>
        </w:r>
        <w:r w:rsidR="00B21F53">
          <w:rPr>
            <w:noProof/>
            <w:webHidden/>
          </w:rPr>
          <w:fldChar w:fldCharType="begin"/>
        </w:r>
        <w:r w:rsidR="00B21F53">
          <w:rPr>
            <w:noProof/>
            <w:webHidden/>
          </w:rPr>
          <w:instrText xml:space="preserve"> PAGEREF _Toc219390727 \h </w:instrText>
        </w:r>
        <w:r w:rsidR="00B21F53">
          <w:rPr>
            <w:noProof/>
            <w:webHidden/>
          </w:rPr>
        </w:r>
        <w:r w:rsidR="00B21F53">
          <w:rPr>
            <w:noProof/>
            <w:webHidden/>
          </w:rPr>
          <w:fldChar w:fldCharType="separate"/>
        </w:r>
        <w:r w:rsidR="004068FA">
          <w:rPr>
            <w:noProof/>
            <w:webHidden/>
          </w:rPr>
          <w:t>36</w:t>
        </w:r>
        <w:r w:rsidR="00B21F53">
          <w:rPr>
            <w:noProof/>
            <w:webHidden/>
          </w:rPr>
          <w:fldChar w:fldCharType="end"/>
        </w:r>
      </w:hyperlink>
    </w:p>
    <w:p w14:paraId="6A96FBF1" w14:textId="4505BCA8"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28" w:history="1">
        <w:r w:rsidR="00B21F53" w:rsidRPr="00AA061A">
          <w:rPr>
            <w:rStyle w:val="Hyperlink"/>
            <w:noProof/>
            <w:lang w:val="en-IE"/>
          </w:rPr>
          <w:t>3.</w:t>
        </w:r>
        <w:r w:rsidR="00B21F53">
          <w:rPr>
            <w:rFonts w:asciiTheme="minorHAnsi" w:eastAsiaTheme="minorEastAsia" w:hAnsiTheme="minorHAnsi" w:cstheme="minorBidi"/>
            <w:caps w:val="0"/>
            <w:noProof/>
            <w:kern w:val="2"/>
            <w:sz w:val="24"/>
            <w:szCs w:val="24"/>
            <w:lang w:val="en-IE" w:eastAsia="en-IE"/>
            <w14:ligatures w14:val="standardContextual"/>
          </w:rPr>
          <w:tab/>
        </w:r>
        <w:r w:rsidR="00B21F53" w:rsidRPr="00AA061A">
          <w:rPr>
            <w:rStyle w:val="Hyperlink"/>
            <w:noProof/>
            <w:lang w:val="en-IE"/>
          </w:rPr>
          <w:t>Competitive position of the most affected sectors</w:t>
        </w:r>
        <w:r w:rsidR="00B21F53">
          <w:rPr>
            <w:noProof/>
            <w:webHidden/>
          </w:rPr>
          <w:tab/>
        </w:r>
        <w:r w:rsidR="00B21F53">
          <w:rPr>
            <w:noProof/>
            <w:webHidden/>
          </w:rPr>
          <w:fldChar w:fldCharType="begin"/>
        </w:r>
        <w:r w:rsidR="00B21F53">
          <w:rPr>
            <w:noProof/>
            <w:webHidden/>
          </w:rPr>
          <w:instrText xml:space="preserve"> PAGEREF _Toc219390728 \h </w:instrText>
        </w:r>
        <w:r w:rsidR="00B21F53">
          <w:rPr>
            <w:noProof/>
            <w:webHidden/>
          </w:rPr>
        </w:r>
        <w:r w:rsidR="00B21F53">
          <w:rPr>
            <w:noProof/>
            <w:webHidden/>
          </w:rPr>
          <w:fldChar w:fldCharType="separate"/>
        </w:r>
        <w:r w:rsidR="004068FA">
          <w:rPr>
            <w:noProof/>
            <w:webHidden/>
          </w:rPr>
          <w:t>37</w:t>
        </w:r>
        <w:r w:rsidR="00B21F53">
          <w:rPr>
            <w:noProof/>
            <w:webHidden/>
          </w:rPr>
          <w:fldChar w:fldCharType="end"/>
        </w:r>
      </w:hyperlink>
    </w:p>
    <w:p w14:paraId="3D4C4470" w14:textId="50E0E7A5"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29" w:history="1">
        <w:r w:rsidR="00B21F53" w:rsidRPr="00AA061A">
          <w:rPr>
            <w:rStyle w:val="Hyperlink"/>
            <w:noProof/>
            <w:lang w:val="en-IE"/>
          </w:rPr>
          <w:t>Annex 6: SME check [for SME relevant and highly relevant initiatives]</w:t>
        </w:r>
        <w:r w:rsidR="00B21F53">
          <w:rPr>
            <w:noProof/>
            <w:webHidden/>
          </w:rPr>
          <w:tab/>
        </w:r>
        <w:r w:rsidR="00B21F53">
          <w:rPr>
            <w:noProof/>
            <w:webHidden/>
          </w:rPr>
          <w:fldChar w:fldCharType="begin"/>
        </w:r>
        <w:r w:rsidR="00B21F53">
          <w:rPr>
            <w:noProof/>
            <w:webHidden/>
          </w:rPr>
          <w:instrText xml:space="preserve"> PAGEREF _Toc219390729 \h </w:instrText>
        </w:r>
        <w:r w:rsidR="00B21F53">
          <w:rPr>
            <w:noProof/>
            <w:webHidden/>
          </w:rPr>
        </w:r>
        <w:r w:rsidR="00B21F53">
          <w:rPr>
            <w:noProof/>
            <w:webHidden/>
          </w:rPr>
          <w:fldChar w:fldCharType="separate"/>
        </w:r>
        <w:r w:rsidR="004068FA">
          <w:rPr>
            <w:noProof/>
            <w:webHidden/>
          </w:rPr>
          <w:t>38</w:t>
        </w:r>
        <w:r w:rsidR="00B21F53">
          <w:rPr>
            <w:noProof/>
            <w:webHidden/>
          </w:rPr>
          <w:fldChar w:fldCharType="end"/>
        </w:r>
      </w:hyperlink>
    </w:p>
    <w:p w14:paraId="31EA4824" w14:textId="70F4429E"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30" w:history="1">
        <w:r w:rsidR="00B21F53" w:rsidRPr="00AA061A">
          <w:rPr>
            <w:rStyle w:val="Hyperlink"/>
            <w:noProof/>
            <w:lang w:val="en-IE"/>
          </w:rPr>
          <w:t>Annex 7: Overview of policy options - problem drivers - specific objectives</w:t>
        </w:r>
        <w:r w:rsidR="00B21F53">
          <w:rPr>
            <w:noProof/>
            <w:webHidden/>
          </w:rPr>
          <w:tab/>
        </w:r>
        <w:r w:rsidR="00B21F53">
          <w:rPr>
            <w:noProof/>
            <w:webHidden/>
          </w:rPr>
          <w:fldChar w:fldCharType="begin"/>
        </w:r>
        <w:r w:rsidR="00B21F53">
          <w:rPr>
            <w:noProof/>
            <w:webHidden/>
          </w:rPr>
          <w:instrText xml:space="preserve"> PAGEREF _Toc219390730 \h </w:instrText>
        </w:r>
        <w:r w:rsidR="00B21F53">
          <w:rPr>
            <w:noProof/>
            <w:webHidden/>
          </w:rPr>
        </w:r>
        <w:r w:rsidR="00B21F53">
          <w:rPr>
            <w:noProof/>
            <w:webHidden/>
          </w:rPr>
          <w:fldChar w:fldCharType="separate"/>
        </w:r>
        <w:r w:rsidR="004068FA">
          <w:rPr>
            <w:noProof/>
            <w:webHidden/>
          </w:rPr>
          <w:t>41</w:t>
        </w:r>
        <w:r w:rsidR="00B21F53">
          <w:rPr>
            <w:noProof/>
            <w:webHidden/>
          </w:rPr>
          <w:fldChar w:fldCharType="end"/>
        </w:r>
      </w:hyperlink>
    </w:p>
    <w:p w14:paraId="03DE638D" w14:textId="295C2B14"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31" w:history="1">
        <w:r w:rsidR="00B21F53" w:rsidRPr="00AA061A">
          <w:rPr>
            <w:rStyle w:val="Hyperlink"/>
            <w:noProof/>
            <w:lang w:val="en-IE"/>
          </w:rPr>
          <w:t>Annex 8: Number of companies</w:t>
        </w:r>
        <w:r w:rsidR="00B21F53">
          <w:rPr>
            <w:noProof/>
            <w:webHidden/>
          </w:rPr>
          <w:tab/>
        </w:r>
        <w:r w:rsidR="00B21F53">
          <w:rPr>
            <w:noProof/>
            <w:webHidden/>
          </w:rPr>
          <w:fldChar w:fldCharType="begin"/>
        </w:r>
        <w:r w:rsidR="00B21F53">
          <w:rPr>
            <w:noProof/>
            <w:webHidden/>
          </w:rPr>
          <w:instrText xml:space="preserve"> PAGEREF _Toc219390731 \h </w:instrText>
        </w:r>
        <w:r w:rsidR="00B21F53">
          <w:rPr>
            <w:noProof/>
            <w:webHidden/>
          </w:rPr>
        </w:r>
        <w:r w:rsidR="00B21F53">
          <w:rPr>
            <w:noProof/>
            <w:webHidden/>
          </w:rPr>
          <w:fldChar w:fldCharType="separate"/>
        </w:r>
        <w:r w:rsidR="004068FA">
          <w:rPr>
            <w:noProof/>
            <w:webHidden/>
          </w:rPr>
          <w:t>45</w:t>
        </w:r>
        <w:r w:rsidR="00B21F53">
          <w:rPr>
            <w:noProof/>
            <w:webHidden/>
          </w:rPr>
          <w:fldChar w:fldCharType="end"/>
        </w:r>
      </w:hyperlink>
    </w:p>
    <w:p w14:paraId="059DBCDE" w14:textId="5EE15222"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32" w:history="1">
        <w:r w:rsidR="00B21F53" w:rsidRPr="00AA061A">
          <w:rPr>
            <w:rStyle w:val="Hyperlink"/>
            <w:noProof/>
            <w:lang w:val="en-IE"/>
          </w:rPr>
          <w:t>Annex 9: Discarded options</w:t>
        </w:r>
        <w:r w:rsidR="00B21F53">
          <w:rPr>
            <w:noProof/>
            <w:webHidden/>
          </w:rPr>
          <w:tab/>
        </w:r>
        <w:r w:rsidR="00B21F53">
          <w:rPr>
            <w:noProof/>
            <w:webHidden/>
          </w:rPr>
          <w:fldChar w:fldCharType="begin"/>
        </w:r>
        <w:r w:rsidR="00B21F53">
          <w:rPr>
            <w:noProof/>
            <w:webHidden/>
          </w:rPr>
          <w:instrText xml:space="preserve"> PAGEREF _Toc219390732 \h </w:instrText>
        </w:r>
        <w:r w:rsidR="00B21F53">
          <w:rPr>
            <w:noProof/>
            <w:webHidden/>
          </w:rPr>
        </w:r>
        <w:r w:rsidR="00B21F53">
          <w:rPr>
            <w:noProof/>
            <w:webHidden/>
          </w:rPr>
          <w:fldChar w:fldCharType="separate"/>
        </w:r>
        <w:r w:rsidR="004068FA">
          <w:rPr>
            <w:noProof/>
            <w:webHidden/>
          </w:rPr>
          <w:t>50</w:t>
        </w:r>
        <w:r w:rsidR="00B21F53">
          <w:rPr>
            <w:noProof/>
            <w:webHidden/>
          </w:rPr>
          <w:fldChar w:fldCharType="end"/>
        </w:r>
      </w:hyperlink>
    </w:p>
    <w:p w14:paraId="0F633D4F" w14:textId="2317BD08" w:rsidR="00B21F53" w:rsidRDefault="008660A9">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90733" w:history="1">
        <w:r w:rsidR="00B21F53" w:rsidRPr="00AA061A">
          <w:rPr>
            <w:rStyle w:val="Hyperlink"/>
            <w:noProof/>
            <w:lang w:val="en-IE"/>
          </w:rPr>
          <w:t>Annex 10: EU rules in other policy areas related to this initiative</w:t>
        </w:r>
        <w:r w:rsidR="00B21F53">
          <w:rPr>
            <w:noProof/>
            <w:webHidden/>
          </w:rPr>
          <w:tab/>
        </w:r>
        <w:r w:rsidR="00B21F53">
          <w:rPr>
            <w:noProof/>
            <w:webHidden/>
          </w:rPr>
          <w:fldChar w:fldCharType="begin"/>
        </w:r>
        <w:r w:rsidR="00B21F53">
          <w:rPr>
            <w:noProof/>
            <w:webHidden/>
          </w:rPr>
          <w:instrText xml:space="preserve"> PAGEREF _Toc219390733 \h </w:instrText>
        </w:r>
        <w:r w:rsidR="00B21F53">
          <w:rPr>
            <w:noProof/>
            <w:webHidden/>
          </w:rPr>
        </w:r>
        <w:r w:rsidR="00B21F53">
          <w:rPr>
            <w:noProof/>
            <w:webHidden/>
          </w:rPr>
          <w:fldChar w:fldCharType="separate"/>
        </w:r>
        <w:r w:rsidR="004068FA">
          <w:rPr>
            <w:noProof/>
            <w:webHidden/>
          </w:rPr>
          <w:t>54</w:t>
        </w:r>
        <w:r w:rsidR="00B21F53">
          <w:rPr>
            <w:noProof/>
            <w:webHidden/>
          </w:rPr>
          <w:fldChar w:fldCharType="end"/>
        </w:r>
      </w:hyperlink>
    </w:p>
    <w:p w14:paraId="4BF896AF" w14:textId="6D33BD10" w:rsidR="001B0161" w:rsidRPr="00F92EAE" w:rsidRDefault="006B087E" w:rsidP="000E3086">
      <w:pPr>
        <w:rPr>
          <w:noProof/>
        </w:rPr>
      </w:pPr>
      <w:r w:rsidRPr="00F92EAE">
        <w:rPr>
          <w:noProof/>
        </w:rPr>
        <w:fldChar w:fldCharType="end"/>
      </w:r>
    </w:p>
    <w:p w14:paraId="1AB99A8F" w14:textId="77777777" w:rsidR="001B0161" w:rsidRPr="00F92EAE" w:rsidRDefault="001B0161" w:rsidP="000E3086">
      <w:pPr>
        <w:rPr>
          <w:noProof/>
        </w:rPr>
      </w:pPr>
      <w:r w:rsidRPr="00F92EAE">
        <w:rPr>
          <w:noProof/>
        </w:rPr>
        <w:br w:type="page"/>
      </w:r>
    </w:p>
    <w:p w14:paraId="717BB718" w14:textId="352191F8" w:rsidR="006B087E" w:rsidRPr="007073AD" w:rsidRDefault="006B087E" w:rsidP="00E24456">
      <w:pPr>
        <w:pStyle w:val="Heading1"/>
        <w:numPr>
          <w:ilvl w:val="0"/>
          <w:numId w:val="0"/>
        </w:numPr>
        <w:ind w:left="480" w:hanging="480"/>
        <w:jc w:val="center"/>
        <w:rPr>
          <w:noProof/>
          <w:sz w:val="32"/>
          <w:szCs w:val="24"/>
          <w:lang w:val="en-IE"/>
        </w:rPr>
      </w:pPr>
      <w:bookmarkStart w:id="2" w:name="_Toc219390710"/>
      <w:r w:rsidRPr="007073AD">
        <w:rPr>
          <w:noProof/>
          <w:sz w:val="32"/>
          <w:szCs w:val="24"/>
          <w:lang w:val="en-IE"/>
        </w:rPr>
        <w:t>Annex 1: Procedural information</w:t>
      </w:r>
      <w:bookmarkEnd w:id="2"/>
    </w:p>
    <w:p w14:paraId="322C03E3" w14:textId="77777777" w:rsidR="006B087E" w:rsidRPr="00F92EAE" w:rsidRDefault="006B087E" w:rsidP="000E3086">
      <w:pPr>
        <w:rPr>
          <w:noProof/>
        </w:rPr>
      </w:pPr>
    </w:p>
    <w:p w14:paraId="5D9DF228" w14:textId="302159C1" w:rsidR="006B087E" w:rsidRPr="007073AD" w:rsidRDefault="006B087E" w:rsidP="000E3086">
      <w:pPr>
        <w:pStyle w:val="Heading1"/>
        <w:numPr>
          <w:ilvl w:val="0"/>
          <w:numId w:val="4"/>
        </w:numPr>
        <w:rPr>
          <w:noProof/>
          <w:lang w:val="en-IE"/>
        </w:rPr>
      </w:pPr>
      <w:bookmarkStart w:id="3" w:name="_Toc471997754"/>
      <w:bookmarkStart w:id="4" w:name="_Toc219390711"/>
      <w:r w:rsidRPr="007073AD">
        <w:rPr>
          <w:noProof/>
          <w:lang w:val="en-IE"/>
        </w:rPr>
        <w:t>Lead DG, D</w:t>
      </w:r>
      <w:r w:rsidRPr="00027847">
        <w:rPr>
          <w:noProof/>
          <w:lang w:val="en-IE"/>
        </w:rPr>
        <w:t>e</w:t>
      </w:r>
      <w:r w:rsidRPr="007073AD">
        <w:rPr>
          <w:noProof/>
          <w:lang w:val="en-IE"/>
        </w:rPr>
        <w:t>cide Planning/CWP references</w:t>
      </w:r>
      <w:bookmarkEnd w:id="3"/>
      <w:bookmarkEnd w:id="4"/>
    </w:p>
    <w:p w14:paraId="07C899DF" w14:textId="77777777" w:rsidR="002D213B" w:rsidRDefault="002D213B" w:rsidP="002D213B">
      <w:pPr>
        <w:spacing w:before="120"/>
        <w:rPr>
          <w:noProof/>
        </w:rPr>
      </w:pPr>
      <w:r w:rsidRPr="00FE2D1B">
        <w:rPr>
          <w:noProof/>
        </w:rPr>
        <w:t xml:space="preserve">This Impact Assessment Report was prepared by </w:t>
      </w:r>
      <w:r>
        <w:rPr>
          <w:noProof/>
        </w:rPr>
        <w:t xml:space="preserve">DG Justice and Consumers (DG JUST). </w:t>
      </w:r>
    </w:p>
    <w:p w14:paraId="35C3C279" w14:textId="5270279D" w:rsidR="002D213B" w:rsidRPr="002C0271" w:rsidDel="00321913" w:rsidRDefault="002D213B" w:rsidP="002D213B">
      <w:pPr>
        <w:rPr>
          <w:noProof/>
        </w:rPr>
      </w:pPr>
      <w:r w:rsidRPr="00FE2D1B">
        <w:rPr>
          <w:noProof/>
        </w:rPr>
        <w:t>Th</w:t>
      </w:r>
      <w:r>
        <w:rPr>
          <w:noProof/>
        </w:rPr>
        <w:t>is</w:t>
      </w:r>
      <w:r w:rsidRPr="00FE2D1B">
        <w:rPr>
          <w:noProof/>
        </w:rPr>
        <w:t xml:space="preserve"> </w:t>
      </w:r>
      <w:r>
        <w:rPr>
          <w:noProof/>
        </w:rPr>
        <w:t xml:space="preserve">initiative </w:t>
      </w:r>
      <w:r w:rsidRPr="00FE2D1B">
        <w:rPr>
          <w:noProof/>
        </w:rPr>
        <w:t>"</w:t>
      </w:r>
      <w:r w:rsidR="00C74E38" w:rsidRPr="00C74E38">
        <w:rPr>
          <w:noProof/>
        </w:rPr>
        <w:t>28th regime –</w:t>
      </w:r>
      <w:r w:rsidR="00C74E38">
        <w:rPr>
          <w:noProof/>
        </w:rPr>
        <w:t xml:space="preserve"> EU corporate legal framework</w:t>
      </w:r>
      <w:r w:rsidRPr="00FE2D1B">
        <w:rPr>
          <w:noProof/>
        </w:rPr>
        <w:t xml:space="preserve">" </w:t>
      </w:r>
      <w:r w:rsidR="00840831">
        <w:rPr>
          <w:noProof/>
        </w:rPr>
        <w:t>is</w:t>
      </w:r>
      <w:r>
        <w:rPr>
          <w:noProof/>
        </w:rPr>
        <w:t xml:space="preserve"> </w:t>
      </w:r>
      <w:r w:rsidRPr="002C0271">
        <w:rPr>
          <w:noProof/>
        </w:rPr>
        <w:t>inclu</w:t>
      </w:r>
      <w:r w:rsidR="00840831">
        <w:rPr>
          <w:noProof/>
        </w:rPr>
        <w:t>ded</w:t>
      </w:r>
      <w:r w:rsidRPr="002C0271">
        <w:rPr>
          <w:noProof/>
        </w:rPr>
        <w:t xml:space="preserve"> in the 202</w:t>
      </w:r>
      <w:r w:rsidR="00840831">
        <w:rPr>
          <w:noProof/>
        </w:rPr>
        <w:t>6</w:t>
      </w:r>
      <w:r w:rsidRPr="002C0271">
        <w:rPr>
          <w:noProof/>
        </w:rPr>
        <w:t xml:space="preserve"> Commission Work Programme.</w:t>
      </w:r>
    </w:p>
    <w:p w14:paraId="68995DB5" w14:textId="77777777" w:rsidR="006B087E" w:rsidRPr="007073AD" w:rsidRDefault="006B087E" w:rsidP="000E3086">
      <w:pPr>
        <w:pStyle w:val="Heading1"/>
        <w:rPr>
          <w:noProof/>
          <w:lang w:val="en-IE"/>
        </w:rPr>
      </w:pPr>
      <w:bookmarkStart w:id="5" w:name="_Toc471997755"/>
      <w:bookmarkStart w:id="6" w:name="_Toc219390712"/>
      <w:r w:rsidRPr="007073AD">
        <w:rPr>
          <w:noProof/>
          <w:lang w:val="en-IE"/>
        </w:rPr>
        <w:t>Organisation and timing</w:t>
      </w:r>
      <w:bookmarkEnd w:id="5"/>
      <w:bookmarkEnd w:id="6"/>
    </w:p>
    <w:p w14:paraId="6204A128" w14:textId="2C6B6768" w:rsidR="00F35EB9" w:rsidRPr="004F21A9" w:rsidRDefault="00F35EB9" w:rsidP="002567DC">
      <w:pPr>
        <w:rPr>
          <w:noProof/>
        </w:rPr>
      </w:pPr>
      <w:r w:rsidRPr="004F21A9">
        <w:rPr>
          <w:noProof/>
        </w:rPr>
        <w:t>The Call for Evidence was published along with the</w:t>
      </w:r>
      <w:r w:rsidR="000A00B3">
        <w:rPr>
          <w:noProof/>
        </w:rPr>
        <w:t xml:space="preserve"> p</w:t>
      </w:r>
      <w:r w:rsidR="00A65848" w:rsidRPr="004F21A9">
        <w:rPr>
          <w:noProof/>
        </w:rPr>
        <w:t>ublic consultation</w:t>
      </w:r>
      <w:r w:rsidR="00981E62" w:rsidRPr="00981E62">
        <w:rPr>
          <w:noProof/>
        </w:rPr>
        <w:t xml:space="preserve"> </w:t>
      </w:r>
      <w:r w:rsidR="00981E62" w:rsidRPr="004F21A9">
        <w:rPr>
          <w:noProof/>
        </w:rPr>
        <w:t>on “Have Your Say”</w:t>
      </w:r>
      <w:r w:rsidR="00894F8F" w:rsidRPr="004F21A9">
        <w:rPr>
          <w:noProof/>
          <w:vertAlign w:val="superscript"/>
        </w:rPr>
        <w:footnoteReference w:id="2"/>
      </w:r>
      <w:r w:rsidR="00981E62" w:rsidRPr="004F21A9">
        <w:rPr>
          <w:noProof/>
        </w:rPr>
        <w:t xml:space="preserve"> between 8 July and 30 September 2025</w:t>
      </w:r>
      <w:r w:rsidRPr="004F21A9">
        <w:rPr>
          <w:noProof/>
        </w:rPr>
        <w:t>.</w:t>
      </w:r>
    </w:p>
    <w:p w14:paraId="05AF5DD1" w14:textId="24FA6BB6" w:rsidR="00D3264C" w:rsidRDefault="00840736" w:rsidP="002567DC">
      <w:pPr>
        <w:rPr>
          <w:noProof/>
        </w:rPr>
      </w:pPr>
      <w:r>
        <w:rPr>
          <w:noProof/>
        </w:rPr>
        <w:t>Two</w:t>
      </w:r>
      <w:r w:rsidR="003200AD" w:rsidRPr="760F74E1">
        <w:rPr>
          <w:noProof/>
        </w:rPr>
        <w:t xml:space="preserve"> Inter-Service </w:t>
      </w:r>
      <w:r w:rsidR="1E5400E9" w:rsidRPr="760F74E1">
        <w:rPr>
          <w:noProof/>
        </w:rPr>
        <w:t xml:space="preserve">Coordination </w:t>
      </w:r>
      <w:r w:rsidR="003200AD" w:rsidRPr="760F74E1">
        <w:rPr>
          <w:noProof/>
        </w:rPr>
        <w:t>Group (IS</w:t>
      </w:r>
      <w:r w:rsidR="72CA5768" w:rsidRPr="760F74E1">
        <w:rPr>
          <w:noProof/>
        </w:rPr>
        <w:t>C</w:t>
      </w:r>
      <w:r w:rsidR="003200AD" w:rsidRPr="760F74E1">
        <w:rPr>
          <w:noProof/>
        </w:rPr>
        <w:t>G) meetings</w:t>
      </w:r>
      <w:r>
        <w:rPr>
          <w:noProof/>
        </w:rPr>
        <w:t xml:space="preserve"> and three </w:t>
      </w:r>
      <w:r w:rsidR="00F531DB" w:rsidRPr="00F531DB">
        <w:rPr>
          <w:noProof/>
        </w:rPr>
        <w:t>Cabinet/</w:t>
      </w:r>
      <w:r w:rsidR="00F531DB">
        <w:rPr>
          <w:noProof/>
        </w:rPr>
        <w:t>S</w:t>
      </w:r>
      <w:r w:rsidR="00F531DB" w:rsidRPr="00F531DB">
        <w:rPr>
          <w:noProof/>
        </w:rPr>
        <w:t>ervices meetings</w:t>
      </w:r>
      <w:r w:rsidR="003200AD" w:rsidRPr="760F74E1">
        <w:rPr>
          <w:noProof/>
        </w:rPr>
        <w:t xml:space="preserve"> were held in 202</w:t>
      </w:r>
      <w:r w:rsidR="004D01A7" w:rsidRPr="760F74E1">
        <w:rPr>
          <w:noProof/>
        </w:rPr>
        <w:t>5</w:t>
      </w:r>
      <w:r w:rsidR="003200AD" w:rsidRPr="760F74E1">
        <w:rPr>
          <w:noProof/>
        </w:rPr>
        <w:t xml:space="preserve"> and 202</w:t>
      </w:r>
      <w:r w:rsidR="004D01A7" w:rsidRPr="760F74E1">
        <w:rPr>
          <w:noProof/>
        </w:rPr>
        <w:t>6</w:t>
      </w:r>
      <w:r w:rsidR="003200AD" w:rsidRPr="760F74E1">
        <w:rPr>
          <w:noProof/>
        </w:rPr>
        <w:t xml:space="preserve"> during the preparation stage of this impact assessment</w:t>
      </w:r>
      <w:r w:rsidR="00FB0023">
        <w:rPr>
          <w:noProof/>
        </w:rPr>
        <w:t>.</w:t>
      </w:r>
      <w:r w:rsidR="00F703FB" w:rsidRPr="760F74E1">
        <w:rPr>
          <w:noProof/>
        </w:rPr>
        <w:t xml:space="preserve"> </w:t>
      </w:r>
      <w:r w:rsidR="002C2C5A">
        <w:rPr>
          <w:noProof/>
        </w:rPr>
        <w:t xml:space="preserve">The </w:t>
      </w:r>
      <w:r w:rsidR="00F703FB" w:rsidRPr="760F74E1">
        <w:rPr>
          <w:noProof/>
        </w:rPr>
        <w:t xml:space="preserve">representatives from </w:t>
      </w:r>
      <w:r w:rsidR="002C2C5A">
        <w:rPr>
          <w:noProof/>
        </w:rPr>
        <w:t xml:space="preserve">the following </w:t>
      </w:r>
      <w:r w:rsidR="007F4C21">
        <w:rPr>
          <w:noProof/>
        </w:rPr>
        <w:t xml:space="preserve">Cabinets and </w:t>
      </w:r>
      <w:r w:rsidR="00F703FB" w:rsidRPr="760F74E1">
        <w:rPr>
          <w:noProof/>
        </w:rPr>
        <w:t>Directorates-General of the Commission</w:t>
      </w:r>
      <w:r w:rsidR="002C2C5A">
        <w:rPr>
          <w:noProof/>
        </w:rPr>
        <w:t xml:space="preserve"> took part in the Cabinet/Services meetings</w:t>
      </w:r>
      <w:r w:rsidR="00F703FB" w:rsidRPr="760F74E1">
        <w:rPr>
          <w:noProof/>
        </w:rPr>
        <w:t>:</w:t>
      </w:r>
      <w:r w:rsidR="002914A8" w:rsidRPr="002914A8">
        <w:rPr>
          <w:noProof/>
        </w:rPr>
        <w:t xml:space="preserve"> </w:t>
      </w:r>
      <w:r w:rsidR="002914A8">
        <w:rPr>
          <w:noProof/>
        </w:rPr>
        <w:t>C</w:t>
      </w:r>
      <w:r w:rsidR="002914A8" w:rsidRPr="002914A8">
        <w:rPr>
          <w:noProof/>
        </w:rPr>
        <w:t>AB-VON DER LEYEN, CAB-SÉJOURNÉ, CAB-VIRKKUNEN, CAB-MCGRATH, CAB-ALBUQUERQUE, CAB-HOEKSTRA, CAB-ZAHARIEVA, CAB-MÎNZATU, CAB-DOMBROVSKIS, CAB-BRUNNER</w:t>
      </w:r>
      <w:r w:rsidR="002914A8">
        <w:rPr>
          <w:noProof/>
        </w:rPr>
        <w:t>,</w:t>
      </w:r>
      <w:r w:rsidR="00F703FB" w:rsidRPr="760F74E1">
        <w:rPr>
          <w:noProof/>
        </w:rPr>
        <w:t xml:space="preserve"> </w:t>
      </w:r>
      <w:r w:rsidR="000B54A0" w:rsidRPr="000B54A0">
        <w:rPr>
          <w:noProof/>
        </w:rPr>
        <w:t>SG, LS, JUST, RTD, GROW, EMPL, TAXUD, FISMA, CNECT, HOME</w:t>
      </w:r>
      <w:r w:rsidR="000B54A0">
        <w:rPr>
          <w:noProof/>
        </w:rPr>
        <w:t xml:space="preserve">. The following DGs were part of the ISCG: </w:t>
      </w:r>
      <w:r w:rsidR="005944E9" w:rsidRPr="005944E9">
        <w:rPr>
          <w:noProof/>
        </w:rPr>
        <w:t>SG, LS</w:t>
      </w:r>
      <w:r w:rsidR="005944E9" w:rsidRPr="005944E9">
        <w:rPr>
          <w:b/>
          <w:bCs/>
          <w:noProof/>
        </w:rPr>
        <w:t>, </w:t>
      </w:r>
      <w:r w:rsidR="005944E9" w:rsidRPr="005944E9">
        <w:rPr>
          <w:noProof/>
        </w:rPr>
        <w:t>BUDG, FISMA, RTD, GROW, HOME, TAXUD, OP, SG REFORM, TRADE, EMPL, JRC, ENV, ESTAT, COMP, MOVE, REGIO, DIGIT, DEFIS, COMM, CNECT, ECFIN, ENER, CLIMA, EAC, MARE, SANTE</w:t>
      </w:r>
      <w:r w:rsidR="006E32F5">
        <w:rPr>
          <w:noProof/>
        </w:rPr>
        <w:t>.</w:t>
      </w:r>
    </w:p>
    <w:p w14:paraId="208710EC" w14:textId="1F7EB32C" w:rsidR="003200AD" w:rsidRDefault="003200AD" w:rsidP="003200AD">
      <w:pPr>
        <w:rPr>
          <w:noProof/>
        </w:rPr>
      </w:pPr>
      <w:r w:rsidRPr="00FE2D1B">
        <w:rPr>
          <w:noProof/>
        </w:rPr>
        <w:t xml:space="preserve">DG </w:t>
      </w:r>
      <w:r>
        <w:rPr>
          <w:noProof/>
        </w:rPr>
        <w:t>JUST</w:t>
      </w:r>
      <w:r w:rsidRPr="00FE2D1B">
        <w:rPr>
          <w:noProof/>
        </w:rPr>
        <w:t xml:space="preserve"> has considered the comments made by </w:t>
      </w:r>
      <w:r w:rsidR="00D82EA4">
        <w:rPr>
          <w:noProof/>
        </w:rPr>
        <w:t>Cabinets and</w:t>
      </w:r>
      <w:r w:rsidRPr="00FE2D1B">
        <w:rPr>
          <w:noProof/>
        </w:rPr>
        <w:t xml:space="preserve"> DGs </w:t>
      </w:r>
      <w:r w:rsidR="00343521">
        <w:rPr>
          <w:noProof/>
        </w:rPr>
        <w:t xml:space="preserve">regading the </w:t>
      </w:r>
      <w:r w:rsidRPr="00FE2D1B">
        <w:rPr>
          <w:noProof/>
        </w:rPr>
        <w:t>I</w:t>
      </w:r>
      <w:r>
        <w:rPr>
          <w:noProof/>
        </w:rPr>
        <w:t xml:space="preserve">mpact </w:t>
      </w:r>
      <w:r w:rsidRPr="00FE2D1B">
        <w:rPr>
          <w:noProof/>
        </w:rPr>
        <w:t>A</w:t>
      </w:r>
      <w:r>
        <w:rPr>
          <w:noProof/>
        </w:rPr>
        <w:t>ssessment</w:t>
      </w:r>
      <w:r w:rsidRPr="00FE2D1B">
        <w:rPr>
          <w:noProof/>
        </w:rPr>
        <w:t xml:space="preserve">. </w:t>
      </w:r>
    </w:p>
    <w:p w14:paraId="26589FE2" w14:textId="77777777" w:rsidR="006B087E" w:rsidRPr="007073AD" w:rsidRDefault="006B087E" w:rsidP="000E3086">
      <w:pPr>
        <w:pStyle w:val="Heading1"/>
        <w:rPr>
          <w:noProof/>
          <w:lang w:val="en-IE"/>
        </w:rPr>
      </w:pPr>
      <w:bookmarkStart w:id="7" w:name="_Toc471997757"/>
      <w:bookmarkStart w:id="8" w:name="_Toc219390713"/>
      <w:r w:rsidRPr="007073AD">
        <w:rPr>
          <w:noProof/>
          <w:lang w:val="en-IE"/>
        </w:rPr>
        <w:t>Consultation of the RSB</w:t>
      </w:r>
      <w:bookmarkEnd w:id="7"/>
      <w:bookmarkEnd w:id="8"/>
    </w:p>
    <w:p w14:paraId="5414DC3C" w14:textId="00E28B4B" w:rsidR="006460B9" w:rsidRDefault="006460B9" w:rsidP="006460B9">
      <w:pPr>
        <w:rPr>
          <w:noProof/>
        </w:rPr>
      </w:pPr>
      <w:r>
        <w:rPr>
          <w:noProof/>
        </w:rPr>
        <w:t xml:space="preserve">An </w:t>
      </w:r>
      <w:r w:rsidRPr="00CE53B8">
        <w:rPr>
          <w:noProof/>
        </w:rPr>
        <w:t xml:space="preserve">Upstream meeting with </w:t>
      </w:r>
      <w:r>
        <w:rPr>
          <w:noProof/>
        </w:rPr>
        <w:t xml:space="preserve">the </w:t>
      </w:r>
      <w:r w:rsidRPr="00CE53B8">
        <w:rPr>
          <w:noProof/>
        </w:rPr>
        <w:t>Regulatory Sc</w:t>
      </w:r>
      <w:r>
        <w:rPr>
          <w:noProof/>
        </w:rPr>
        <w:t xml:space="preserve">rutiny Board was held on </w:t>
      </w:r>
      <w:r w:rsidR="002B740C">
        <w:rPr>
          <w:noProof/>
        </w:rPr>
        <w:t>20</w:t>
      </w:r>
      <w:r>
        <w:rPr>
          <w:noProof/>
        </w:rPr>
        <w:t xml:space="preserve"> </w:t>
      </w:r>
      <w:r w:rsidR="002B740C">
        <w:rPr>
          <w:noProof/>
        </w:rPr>
        <w:t>October</w:t>
      </w:r>
      <w:r>
        <w:rPr>
          <w:noProof/>
        </w:rPr>
        <w:t xml:space="preserve"> 202</w:t>
      </w:r>
      <w:r w:rsidR="002B740C">
        <w:rPr>
          <w:noProof/>
        </w:rPr>
        <w:t>5</w:t>
      </w:r>
      <w:r>
        <w:rPr>
          <w:noProof/>
        </w:rPr>
        <w:t>.</w:t>
      </w:r>
    </w:p>
    <w:p w14:paraId="05A1A7A8" w14:textId="77777777" w:rsidR="009E50B3" w:rsidRDefault="009E50B3" w:rsidP="009E50B3">
      <w:pPr>
        <w:rPr>
          <w:noProof/>
        </w:rPr>
      </w:pPr>
      <w:bookmarkStart w:id="9" w:name="_Toc471997758"/>
      <w:bookmarkStart w:id="10" w:name="_Toc219390714"/>
      <w:r w:rsidRPr="00FE2D1B">
        <w:rPr>
          <w:noProof/>
        </w:rPr>
        <w:t xml:space="preserve">The Impact Assessment accompanying this proposal </w:t>
      </w:r>
      <w:r>
        <w:rPr>
          <w:noProof/>
        </w:rPr>
        <w:t>was</w:t>
      </w:r>
      <w:r w:rsidRPr="00FE2D1B">
        <w:rPr>
          <w:noProof/>
        </w:rPr>
        <w:t xml:space="preserve"> examined by th</w:t>
      </w:r>
      <w:r>
        <w:rPr>
          <w:noProof/>
        </w:rPr>
        <w:t>e Regulatory Scrutiny Board on 11 February 2026</w:t>
      </w:r>
      <w:r w:rsidRPr="00FE2D1B">
        <w:rPr>
          <w:noProof/>
        </w:rPr>
        <w:t>.</w:t>
      </w:r>
      <w:r>
        <w:rPr>
          <w:noProof/>
        </w:rPr>
        <w:t xml:space="preserve"> A positive opinion was received on 13 February and recommendations from the Board were duly addressed in the final version of the impact assessment.</w:t>
      </w:r>
    </w:p>
    <w:tbl>
      <w:tblPr>
        <w:tblStyle w:val="TableGrid"/>
        <w:tblW w:w="0" w:type="auto"/>
        <w:tblLook w:val="04A0" w:firstRow="1" w:lastRow="0" w:firstColumn="1" w:lastColumn="0" w:noHBand="0" w:noVBand="1"/>
      </w:tblPr>
      <w:tblGrid>
        <w:gridCol w:w="4914"/>
        <w:gridCol w:w="4914"/>
      </w:tblGrid>
      <w:tr w:rsidR="00834B15" w:rsidRPr="00595FD2" w14:paraId="4D527CDA" w14:textId="77777777" w:rsidTr="009A60AF">
        <w:tc>
          <w:tcPr>
            <w:tcW w:w="4914" w:type="dxa"/>
            <w:shd w:val="clear" w:color="auto" w:fill="B8CCE4" w:themeFill="accent1" w:themeFillTint="66"/>
          </w:tcPr>
          <w:p w14:paraId="625D781E" w14:textId="77777777" w:rsidR="00834B15" w:rsidRPr="00595FD2" w:rsidRDefault="00834B15" w:rsidP="009A60AF">
            <w:pPr>
              <w:jc w:val="center"/>
              <w:rPr>
                <w:b/>
                <w:noProof/>
                <w:color w:val="000000" w:themeColor="text1"/>
              </w:rPr>
            </w:pPr>
            <w:r>
              <w:rPr>
                <w:b/>
                <w:noProof/>
                <w:color w:val="000000" w:themeColor="text1"/>
              </w:rPr>
              <w:t>RSB comments on 13 February 2026</w:t>
            </w:r>
          </w:p>
        </w:tc>
        <w:tc>
          <w:tcPr>
            <w:tcW w:w="4914" w:type="dxa"/>
            <w:shd w:val="clear" w:color="auto" w:fill="B8CCE4" w:themeFill="accent1" w:themeFillTint="66"/>
          </w:tcPr>
          <w:p w14:paraId="36D610E2" w14:textId="77777777" w:rsidR="00834B15" w:rsidRPr="00595FD2" w:rsidRDefault="00834B15" w:rsidP="009A60AF">
            <w:pPr>
              <w:jc w:val="center"/>
              <w:rPr>
                <w:b/>
                <w:noProof/>
                <w:color w:val="000000" w:themeColor="text1"/>
              </w:rPr>
            </w:pPr>
            <w:r>
              <w:rPr>
                <w:b/>
                <w:noProof/>
                <w:color w:val="000000" w:themeColor="text1"/>
              </w:rPr>
              <w:t>How RSB comments have been addressed in the IA</w:t>
            </w:r>
          </w:p>
        </w:tc>
      </w:tr>
      <w:tr w:rsidR="00834B15" w14:paraId="5CB991EC" w14:textId="77777777" w:rsidTr="009A60AF">
        <w:tc>
          <w:tcPr>
            <w:tcW w:w="4914" w:type="dxa"/>
          </w:tcPr>
          <w:p w14:paraId="708C8D5C" w14:textId="77777777" w:rsidR="00834B15" w:rsidRDefault="00834B15" w:rsidP="009A60AF">
            <w:pPr>
              <w:spacing w:after="0"/>
              <w:rPr>
                <w:noProof/>
                <w:color w:val="000000" w:themeColor="text1"/>
              </w:rPr>
            </w:pPr>
            <w:r>
              <w:rPr>
                <w:noProof/>
                <w:color w:val="000000" w:themeColor="text1"/>
              </w:rPr>
              <w:t>The Board notes the additional information provided by DG JUST and commitments to make changes to the report.</w:t>
            </w:r>
          </w:p>
          <w:p w14:paraId="5B17FE47" w14:textId="77777777" w:rsidR="00834B15" w:rsidRPr="009F6033" w:rsidRDefault="00834B15" w:rsidP="009A60AF">
            <w:pPr>
              <w:spacing w:after="0"/>
              <w:rPr>
                <w:noProof/>
                <w:color w:val="000000" w:themeColor="text1"/>
              </w:rPr>
            </w:pPr>
            <w:r>
              <w:rPr>
                <w:noProof/>
                <w:color w:val="000000" w:themeColor="text1"/>
              </w:rPr>
              <w:t>The Board gives a positive opinion. The Board considers that the report should be further improved with respect to the following aspects:</w:t>
            </w:r>
          </w:p>
          <w:p w14:paraId="4282CD5F" w14:textId="77777777" w:rsidR="00834B15" w:rsidRPr="009F6033" w:rsidRDefault="00834B15" w:rsidP="009A60AF">
            <w:pPr>
              <w:spacing w:after="0"/>
              <w:rPr>
                <w:noProof/>
                <w:color w:val="000000" w:themeColor="text1"/>
              </w:rPr>
            </w:pPr>
            <w:r>
              <w:rPr>
                <w:noProof/>
                <w:color w:val="000000" w:themeColor="text1"/>
              </w:rPr>
              <w:t>(1) The report should better explain what the scope of the initiative is.</w:t>
            </w:r>
          </w:p>
          <w:p w14:paraId="2F0D9EB6" w14:textId="77777777" w:rsidR="00834B15" w:rsidRPr="009F6033" w:rsidRDefault="00834B15" w:rsidP="009A60AF">
            <w:pPr>
              <w:spacing w:after="0"/>
              <w:rPr>
                <w:noProof/>
                <w:color w:val="000000" w:themeColor="text1"/>
              </w:rPr>
            </w:pPr>
            <w:r>
              <w:rPr>
                <w:noProof/>
                <w:color w:val="000000" w:themeColor="text1"/>
              </w:rPr>
              <w:t>(2) The report does not describe all options in sufficient detail.</w:t>
            </w:r>
          </w:p>
          <w:p w14:paraId="388E86DB" w14:textId="77777777" w:rsidR="00834B15" w:rsidRPr="00595FD2" w:rsidRDefault="00834B15" w:rsidP="009A60AF">
            <w:pPr>
              <w:rPr>
                <w:noProof/>
                <w:color w:val="000000" w:themeColor="text1"/>
              </w:rPr>
            </w:pPr>
            <w:r>
              <w:rPr>
                <w:noProof/>
                <w:color w:val="000000" w:themeColor="text1"/>
              </w:rPr>
              <w:t>(3) Benefits and adjustment costs should be further analysed.</w:t>
            </w:r>
          </w:p>
        </w:tc>
        <w:tc>
          <w:tcPr>
            <w:tcW w:w="4914" w:type="dxa"/>
          </w:tcPr>
          <w:p w14:paraId="4ED85820" w14:textId="77777777" w:rsidR="00834B15" w:rsidRPr="00595FD2" w:rsidRDefault="00834B15" w:rsidP="009A60AF">
            <w:pPr>
              <w:rPr>
                <w:noProof/>
                <w:color w:val="000000" w:themeColor="text1"/>
              </w:rPr>
            </w:pPr>
            <w:r>
              <w:rPr>
                <w:noProof/>
                <w:color w:val="000000" w:themeColor="text1"/>
              </w:rPr>
              <w:t>The report was adapted to take into account the RSB recommendations. See responses to the specific points below.</w:t>
            </w:r>
          </w:p>
        </w:tc>
      </w:tr>
      <w:tr w:rsidR="00834B15" w14:paraId="09FF07B4" w14:textId="77777777" w:rsidTr="009A60AF">
        <w:tc>
          <w:tcPr>
            <w:tcW w:w="4914" w:type="dxa"/>
          </w:tcPr>
          <w:p w14:paraId="562003D1" w14:textId="77777777" w:rsidR="00834B15" w:rsidRPr="00595FD2" w:rsidRDefault="00834B15" w:rsidP="009A60AF">
            <w:pPr>
              <w:rPr>
                <w:noProof/>
                <w:color w:val="000000" w:themeColor="text1"/>
              </w:rPr>
            </w:pPr>
            <w:r>
              <w:rPr>
                <w:noProof/>
                <w:color w:val="000000" w:themeColor="text1"/>
              </w:rPr>
              <w:t>(1) As the proposed initiative is to apply to all companies the use of limiting and not clearly defined terms like ‘innovative’, ‘start-up’, ‘scale up’ or ‘founders’, etc., including in the general and specific objectives, should be avoided; the coupling of some measures with definitions to be provided in the context of the European Innovation Act should be revisited.</w:t>
            </w:r>
          </w:p>
        </w:tc>
        <w:tc>
          <w:tcPr>
            <w:tcW w:w="4914" w:type="dxa"/>
          </w:tcPr>
          <w:p w14:paraId="253F5726" w14:textId="7289B7DD" w:rsidR="00834B15" w:rsidRPr="00595FD2" w:rsidRDefault="008821F8" w:rsidP="009A60AF">
            <w:pPr>
              <w:rPr>
                <w:noProof/>
                <w:color w:val="000000" w:themeColor="text1"/>
              </w:rPr>
            </w:pPr>
            <w:r>
              <w:rPr>
                <w:noProof/>
                <w:color w:val="000000" w:themeColor="text1"/>
              </w:rPr>
              <w:t xml:space="preserve">The report was reviewed. The problems, drivers, objectives and policy options are amended to ensure that the scope of this initiative is clear. The initiative aims to respond to the needs of startups and scaleups while it will be legally open to all founders and companies. </w:t>
            </w:r>
          </w:p>
        </w:tc>
      </w:tr>
      <w:tr w:rsidR="00834B15" w14:paraId="223B8115" w14:textId="77777777" w:rsidTr="009A60AF">
        <w:tc>
          <w:tcPr>
            <w:tcW w:w="4914" w:type="dxa"/>
          </w:tcPr>
          <w:p w14:paraId="17D72F07" w14:textId="77777777" w:rsidR="00834B15" w:rsidRPr="00595FD2" w:rsidRDefault="00834B15" w:rsidP="009A60AF">
            <w:pPr>
              <w:rPr>
                <w:noProof/>
                <w:color w:val="000000" w:themeColor="text1"/>
              </w:rPr>
            </w:pPr>
            <w:r>
              <w:rPr>
                <w:noProof/>
                <w:color w:val="000000" w:themeColor="text1"/>
              </w:rPr>
              <w:t>(2) The report should describe the modular approach chosen and elaborate why areas such as taxation, insolvency, accounting, audit, labour law/employee participation and conflict resolution to ensure legal certainty are excluded from or only partially addressed in the retained options.</w:t>
            </w:r>
          </w:p>
        </w:tc>
        <w:tc>
          <w:tcPr>
            <w:tcW w:w="4914" w:type="dxa"/>
          </w:tcPr>
          <w:p w14:paraId="3533E095" w14:textId="16129EA1" w:rsidR="00834B15" w:rsidRPr="00595FD2" w:rsidRDefault="00806002" w:rsidP="009A60AF">
            <w:pPr>
              <w:rPr>
                <w:noProof/>
                <w:color w:val="000000" w:themeColor="text1"/>
              </w:rPr>
            </w:pPr>
            <w:r>
              <w:rPr>
                <w:noProof/>
                <w:color w:val="000000" w:themeColor="text1"/>
              </w:rPr>
              <w:t>The explanation about the modular approach was included in the introduction to the report. In addition, the report now makes reference to the chapeau Communication which will be published alongside the initiative for the 28th regime corporate legal framework. The chapeau Communication will provide more detailed explanation about the planned measures in other policy areas beyond corporate law.</w:t>
            </w:r>
          </w:p>
        </w:tc>
      </w:tr>
      <w:tr w:rsidR="00834B15" w14:paraId="10014AB4" w14:textId="77777777" w:rsidTr="009A60AF">
        <w:tc>
          <w:tcPr>
            <w:tcW w:w="4914" w:type="dxa"/>
          </w:tcPr>
          <w:p w14:paraId="5FD3CB02" w14:textId="77777777" w:rsidR="00834B15" w:rsidRPr="00A1047A" w:rsidRDefault="00834B15" w:rsidP="009A60AF">
            <w:pPr>
              <w:rPr>
                <w:noProof/>
                <w:color w:val="000000" w:themeColor="text1"/>
                <w:lang w:val="en-IE"/>
              </w:rPr>
            </w:pPr>
            <w:r>
              <w:rPr>
                <w:noProof/>
                <w:color w:val="000000" w:themeColor="text1"/>
              </w:rPr>
              <w:t>(3) The main report should further describe the measures in sufficient detail to allow for their assessment. It should, for example, describe the proposed liability of directors and also assess what consequences such liability might have in terms of risk aversion when starting 28th regime companies.</w:t>
            </w:r>
          </w:p>
        </w:tc>
        <w:tc>
          <w:tcPr>
            <w:tcW w:w="4914" w:type="dxa"/>
          </w:tcPr>
          <w:p w14:paraId="5B1FF766" w14:textId="35837E71" w:rsidR="00834B15" w:rsidRDefault="009A2E4A" w:rsidP="009A60AF">
            <w:pPr>
              <w:rPr>
                <w:noProof/>
                <w:color w:val="000000" w:themeColor="text1"/>
              </w:rPr>
            </w:pPr>
            <w:r>
              <w:rPr>
                <w:noProof/>
                <w:color w:val="000000" w:themeColor="text1"/>
              </w:rPr>
              <w:t xml:space="preserve">Additional descriptions were added for a number of policy measures in section 5.2 in order to provide more details about the policy options. For instance, regarding technical solutions under policy options 2 to ensure quick registration with sufficient legal certainty and compliance checks and as regards the once-only principle in policy options 3 and 4. </w:t>
            </w:r>
          </w:p>
          <w:p w14:paraId="4DB3E0FB" w14:textId="77777777" w:rsidR="00DC1A28" w:rsidRDefault="00834B15" w:rsidP="009A60AF">
            <w:pPr>
              <w:rPr>
                <w:noProof/>
                <w:color w:val="000000" w:themeColor="text1"/>
              </w:rPr>
            </w:pPr>
            <w:r>
              <w:rPr>
                <w:noProof/>
                <w:color w:val="000000" w:themeColor="text1"/>
              </w:rPr>
              <w:t xml:space="preserve">As regards directors’ liability for violations of creditor safeguards, the description of policy option 6b in the main report has been expanded. The revised text describes the safeguards in a clearer way and also the conditions under which directors could be held liable. </w:t>
            </w:r>
          </w:p>
          <w:p w14:paraId="7462DE91" w14:textId="115840CF" w:rsidR="00834B15" w:rsidRPr="00595FD2" w:rsidRDefault="00834B15" w:rsidP="009A60AF">
            <w:pPr>
              <w:rPr>
                <w:noProof/>
                <w:color w:val="000000" w:themeColor="text1"/>
              </w:rPr>
            </w:pPr>
            <w:r>
              <w:rPr>
                <w:noProof/>
                <w:color w:val="000000" w:themeColor="text1"/>
              </w:rPr>
              <w:t xml:space="preserve">The assessment of this policy option under section 2.2 of Annex 4 has also been expanded and is now describing how balanced conditions for directors’ liability with regard to the safeguards under policy option 6b ensure that these safeguards are complied with, without disincentivising directors from approving distributions that do not create a risk for the viability of a company. </w:t>
            </w:r>
          </w:p>
        </w:tc>
      </w:tr>
      <w:tr w:rsidR="00834B15" w14:paraId="3D6095DE" w14:textId="77777777" w:rsidTr="009A60AF">
        <w:tc>
          <w:tcPr>
            <w:tcW w:w="4914" w:type="dxa"/>
          </w:tcPr>
          <w:p w14:paraId="1C9B8FC5" w14:textId="77777777" w:rsidR="00834B15" w:rsidRPr="00595FD2" w:rsidRDefault="00834B15" w:rsidP="009A60AF">
            <w:pPr>
              <w:rPr>
                <w:noProof/>
                <w:color w:val="000000" w:themeColor="text1"/>
              </w:rPr>
            </w:pPr>
            <w:r>
              <w:rPr>
                <w:noProof/>
                <w:color w:val="000000" w:themeColor="text1"/>
              </w:rPr>
              <w:t>(4) The impacts of the proposed intervention should be better assessed in the main report, including unintended consequences, as well as the interplay of the 28th regime with existing provisions in national systems that are constructed around their own internal logics. It should also further assess how the Societas Europaea would co-exist with the 28th regime. The report should, as far as possible, complement the stakeholder input received with more observational data. The main report should analyse whether the intervention could lead to a net increase in the total number of companies and assess what impacts might follow from this.</w:t>
            </w:r>
          </w:p>
        </w:tc>
        <w:tc>
          <w:tcPr>
            <w:tcW w:w="4914" w:type="dxa"/>
          </w:tcPr>
          <w:p w14:paraId="3F0B9CF7" w14:textId="19D4C350" w:rsidR="006E20B2" w:rsidRDefault="00542494" w:rsidP="00242B08">
            <w:pPr>
              <w:rPr>
                <w:noProof/>
                <w:szCs w:val="20"/>
              </w:rPr>
            </w:pPr>
            <w:r>
              <w:rPr>
                <w:noProof/>
                <w:color w:val="000000" w:themeColor="text1"/>
              </w:rPr>
              <w:t>As regards interplay of the 28</w:t>
            </w:r>
            <w:r>
              <w:rPr>
                <w:noProof/>
                <w:color w:val="000000" w:themeColor="text1"/>
                <w:vertAlign w:val="superscript"/>
              </w:rPr>
              <w:t>th</w:t>
            </w:r>
            <w:r>
              <w:rPr>
                <w:noProof/>
                <w:color w:val="000000" w:themeColor="text1"/>
              </w:rPr>
              <w:t xml:space="preserve"> regime corporate legal framework with the existing provisions in national systems, as well as with the EU legal form of </w:t>
            </w:r>
            <w:r>
              <w:rPr>
                <w:i/>
                <w:iCs/>
                <w:noProof/>
                <w:color w:val="000000" w:themeColor="text1"/>
              </w:rPr>
              <w:t>Societas Europea</w:t>
            </w:r>
            <w:r>
              <w:rPr>
                <w:noProof/>
                <w:color w:val="000000" w:themeColor="text1"/>
              </w:rPr>
              <w:t>, in particular the section 6.1 was amended to provide more explanations. It now explains the interplay of the 28</w:t>
            </w:r>
            <w:r>
              <w:rPr>
                <w:noProof/>
                <w:color w:val="000000" w:themeColor="text1"/>
                <w:vertAlign w:val="superscript"/>
              </w:rPr>
              <w:t>th</w:t>
            </w:r>
            <w:r>
              <w:rPr>
                <w:noProof/>
                <w:color w:val="000000" w:themeColor="text1"/>
              </w:rPr>
              <w:t xml:space="preserve"> regime legal form with national legal forms. In addition, it explains that t</w:t>
            </w:r>
            <w:r>
              <w:rPr>
                <w:noProof/>
                <w:szCs w:val="20"/>
              </w:rPr>
              <w:t>he 28</w:t>
            </w:r>
            <w:r>
              <w:rPr>
                <w:noProof/>
                <w:szCs w:val="20"/>
                <w:vertAlign w:val="superscript"/>
              </w:rPr>
              <w:t>th</w:t>
            </w:r>
            <w:r>
              <w:rPr>
                <w:noProof/>
                <w:szCs w:val="20"/>
              </w:rPr>
              <w:t xml:space="preserve"> regime corporate legal form would also be available in parallel to the EU legal form for public limited liability companies, </w:t>
            </w:r>
            <w:r>
              <w:rPr>
                <w:i/>
                <w:iCs/>
                <w:noProof/>
                <w:szCs w:val="20"/>
              </w:rPr>
              <w:t>Societas Europea</w:t>
            </w:r>
            <w:r>
              <w:rPr>
                <w:noProof/>
                <w:szCs w:val="20"/>
              </w:rPr>
              <w:t xml:space="preserve"> (SE). T</w:t>
            </w:r>
            <w:r>
              <w:rPr>
                <w:noProof/>
                <w:szCs w:val="20"/>
                <w:lang w:val="en-IE"/>
              </w:rPr>
              <w:t xml:space="preserve">he two regimes would respond to different types of companies and their different needs. </w:t>
            </w:r>
          </w:p>
          <w:p w14:paraId="16E72AC5" w14:textId="37A329A8" w:rsidR="00834B15" w:rsidRPr="00595FD2" w:rsidRDefault="006E20B2" w:rsidP="009A60AF">
            <w:pPr>
              <w:rPr>
                <w:noProof/>
                <w:color w:val="000000" w:themeColor="text1"/>
              </w:rPr>
            </w:pPr>
            <w:r>
              <w:rPr>
                <w:noProof/>
                <w:color w:val="000000" w:themeColor="text1"/>
              </w:rPr>
              <w:t xml:space="preserve">The </w:t>
            </w:r>
            <w:r>
              <w:rPr>
                <w:rFonts w:eastAsia="EC Square Sans Pro"/>
                <w:noProof/>
                <w:color w:val="000000" w:themeColor="text1"/>
              </w:rPr>
              <w:t xml:space="preserve">Annex 4 (Analytical methods), section 2.3 was also amended to provide </w:t>
            </w:r>
            <w:r>
              <w:rPr>
                <w:noProof/>
                <w:color w:val="000000" w:themeColor="text1"/>
              </w:rPr>
              <w:t>additional explanation regarding how the assumptions and calculations about the expected number of 28</w:t>
            </w:r>
            <w:r>
              <w:rPr>
                <w:noProof/>
                <w:color w:val="000000" w:themeColor="text1"/>
                <w:vertAlign w:val="superscript"/>
              </w:rPr>
              <w:t>th</w:t>
            </w:r>
            <w:r>
              <w:rPr>
                <w:noProof/>
                <w:color w:val="000000" w:themeColor="text1"/>
              </w:rPr>
              <w:t xml:space="preserve"> regime companies were made. </w:t>
            </w:r>
          </w:p>
        </w:tc>
      </w:tr>
      <w:tr w:rsidR="00834B15" w14:paraId="73F96367" w14:textId="77777777" w:rsidTr="009A60AF">
        <w:tc>
          <w:tcPr>
            <w:tcW w:w="4914" w:type="dxa"/>
          </w:tcPr>
          <w:p w14:paraId="3D62385F" w14:textId="77777777" w:rsidR="00834B15" w:rsidRPr="00A1047A" w:rsidRDefault="00834B15" w:rsidP="009A60AF">
            <w:pPr>
              <w:rPr>
                <w:noProof/>
                <w:color w:val="000000" w:themeColor="text1"/>
                <w:lang w:val="en-IE"/>
              </w:rPr>
            </w:pPr>
            <w:r>
              <w:rPr>
                <w:noProof/>
                <w:color w:val="000000" w:themeColor="text1"/>
              </w:rPr>
              <w:t>(5) The report should better assess the impacts, including financial costs and benefits, that might accrue for national administrations, including the costs related to adjusting IT systems. It could also further explain whether and how the proposed harmonisation leads to a reduction of the regulatory burden. The report should be consistent in its use of an ordinal ranking in the choice of preferred options.</w:t>
            </w:r>
          </w:p>
        </w:tc>
        <w:tc>
          <w:tcPr>
            <w:tcW w:w="4914" w:type="dxa"/>
          </w:tcPr>
          <w:p w14:paraId="18AACBAD" w14:textId="39D5E3C6" w:rsidR="00700D64" w:rsidRPr="00336566" w:rsidRDefault="00226EFA" w:rsidP="00D267FE">
            <w:pPr>
              <w:spacing w:line="259" w:lineRule="auto"/>
              <w:rPr>
                <w:noProof/>
                <w:color w:val="000000" w:themeColor="text1"/>
              </w:rPr>
            </w:pPr>
            <w:r>
              <w:rPr>
                <w:noProof/>
                <w:color w:val="000000" w:themeColor="text1"/>
              </w:rPr>
              <w:t xml:space="preserve">The impacts for national administrations and in particular costs related to adjusting IT systems were reviewed and section 6.2 was amended. The report uses ordinal ranking and further explanations on this issue were included in section 7. </w:t>
            </w:r>
          </w:p>
          <w:p w14:paraId="7C195C5D" w14:textId="4DA7547F" w:rsidR="00834B15" w:rsidRPr="00D267FE" w:rsidRDefault="00B43D53" w:rsidP="00D267FE">
            <w:pPr>
              <w:spacing w:line="259" w:lineRule="auto"/>
              <w:rPr>
                <w:rFonts w:eastAsia="EC Square Sans Pro"/>
                <w:noProof/>
                <w:color w:val="00B050"/>
              </w:rPr>
            </w:pPr>
            <w:r>
              <w:rPr>
                <w:rFonts w:eastAsia="EC Square Sans Pro"/>
                <w:noProof/>
                <w:color w:val="000000" w:themeColor="text1"/>
              </w:rPr>
              <w:t>Each sub-section of section 6 explains under “efficiency” the estimated administrative burden reduction per policy option. In addition, the section</w:t>
            </w:r>
            <w:r>
              <w:rPr>
                <w:rFonts w:eastAsia="EC Square Sans Pro"/>
                <w:b/>
                <w:bCs/>
                <w:noProof/>
                <w:color w:val="000000" w:themeColor="text1"/>
              </w:rPr>
              <w:t xml:space="preserve"> </w:t>
            </w:r>
            <w:r>
              <w:rPr>
                <w:rFonts w:eastAsia="EC Square Sans Pro"/>
                <w:noProof/>
                <w:color w:val="000000" w:themeColor="text1"/>
              </w:rPr>
              <w:t>8.2 (impacts of the package) explains the estimated administrative burden reduction resulting from the package of measures (so from the whole initiative). In addition, more detailed explanations of assumptions are included in Annex 4 (Analytical methods) in section 2.3 Efficiency of policy options and in particular 2.3.1 Methodology of the efficiency scoring.</w:t>
            </w:r>
            <w:r>
              <w:rPr>
                <w:rFonts w:eastAsia="EC Square Sans Pro"/>
                <w:noProof/>
                <w:color w:val="00B050"/>
              </w:rPr>
              <w:t xml:space="preserve"> </w:t>
            </w:r>
          </w:p>
        </w:tc>
      </w:tr>
      <w:tr w:rsidR="00834B15" w14:paraId="3A836745" w14:textId="77777777" w:rsidTr="009A60AF">
        <w:tc>
          <w:tcPr>
            <w:tcW w:w="4914" w:type="dxa"/>
          </w:tcPr>
          <w:p w14:paraId="41675DEE" w14:textId="77777777" w:rsidR="00834B15" w:rsidRPr="00595FD2" w:rsidRDefault="00834B15" w:rsidP="009A60AF">
            <w:pPr>
              <w:rPr>
                <w:noProof/>
                <w:color w:val="000000" w:themeColor="text1"/>
              </w:rPr>
            </w:pPr>
            <w:r>
              <w:rPr>
                <w:noProof/>
                <w:color w:val="000000" w:themeColor="text1"/>
              </w:rPr>
              <w:t>(6) The monitoring framework should be expanded to cover not only final outputs and impacts in terms of investment but to also monitor and evaluate the results of different measures and intermediate steps and to identify the data to be collected in order to measure costs, benefits and their data sources.</w:t>
            </w:r>
          </w:p>
        </w:tc>
        <w:tc>
          <w:tcPr>
            <w:tcW w:w="4914" w:type="dxa"/>
          </w:tcPr>
          <w:p w14:paraId="358B4283" w14:textId="77777777" w:rsidR="00834B15" w:rsidRPr="00595FD2" w:rsidRDefault="00834B15" w:rsidP="009A60AF">
            <w:pPr>
              <w:rPr>
                <w:noProof/>
                <w:color w:val="000000" w:themeColor="text1"/>
              </w:rPr>
            </w:pPr>
            <w:r>
              <w:rPr>
                <w:noProof/>
                <w:color w:val="000000" w:themeColor="text1"/>
              </w:rPr>
              <w:t>The monitoring framework in section 9 of the IA was expanded to also cover the outcomes of different measures and intermediate steps. Data sources were identified accordingly.</w:t>
            </w:r>
          </w:p>
        </w:tc>
      </w:tr>
    </w:tbl>
    <w:p w14:paraId="60561B2D" w14:textId="77777777" w:rsidR="00834B15" w:rsidRDefault="00834B15" w:rsidP="009E50B3">
      <w:pPr>
        <w:rPr>
          <w:noProof/>
        </w:rPr>
      </w:pPr>
    </w:p>
    <w:p w14:paraId="0FADD661" w14:textId="77777777" w:rsidR="006B087E" w:rsidRPr="007073AD" w:rsidRDefault="006B087E" w:rsidP="000E3086">
      <w:pPr>
        <w:pStyle w:val="Heading1"/>
        <w:rPr>
          <w:noProof/>
        </w:rPr>
      </w:pPr>
      <w:r w:rsidRPr="249B2C69">
        <w:rPr>
          <w:noProof/>
        </w:rPr>
        <w:t>Evidence, sources and quality</w:t>
      </w:r>
      <w:bookmarkEnd w:id="9"/>
      <w:bookmarkEnd w:id="10"/>
    </w:p>
    <w:p w14:paraId="503C26F8" w14:textId="38323592" w:rsidR="006B087E" w:rsidRPr="00F92EAE" w:rsidRDefault="00A15488" w:rsidP="00D92FEB">
      <w:pPr>
        <w:spacing w:line="276" w:lineRule="auto"/>
        <w:rPr>
          <w:noProof/>
        </w:rPr>
      </w:pPr>
      <w:r w:rsidRPr="00FE2D1B">
        <w:rPr>
          <w:noProof/>
        </w:rPr>
        <w:t xml:space="preserve">The impact assessment draws on an extensive amount of desk research, </w:t>
      </w:r>
      <w:r>
        <w:rPr>
          <w:noProof/>
        </w:rPr>
        <w:t>literature review and wide-ran</w:t>
      </w:r>
      <w:r w:rsidR="009B28C7">
        <w:rPr>
          <w:noProof/>
        </w:rPr>
        <w:t>g</w:t>
      </w:r>
      <w:r>
        <w:rPr>
          <w:noProof/>
        </w:rPr>
        <w:t>ing consultation</w:t>
      </w:r>
      <w:r w:rsidR="0041409B">
        <w:rPr>
          <w:noProof/>
        </w:rPr>
        <w:t xml:space="preserve"> activitie</w:t>
      </w:r>
      <w:r>
        <w:rPr>
          <w:noProof/>
        </w:rPr>
        <w:t>s</w:t>
      </w:r>
      <w:r w:rsidR="00C65571">
        <w:rPr>
          <w:noProof/>
        </w:rPr>
        <w:t>,</w:t>
      </w:r>
      <w:r>
        <w:rPr>
          <w:noProof/>
        </w:rPr>
        <w:t xml:space="preserve"> described in detail </w:t>
      </w:r>
      <w:r w:rsidR="006C70C4">
        <w:rPr>
          <w:noProof/>
        </w:rPr>
        <w:t>throughout</w:t>
      </w:r>
      <w:r>
        <w:rPr>
          <w:noProof/>
        </w:rPr>
        <w:t xml:space="preserve"> </w:t>
      </w:r>
      <w:r w:rsidR="006C70C4" w:rsidRPr="007D4509">
        <w:rPr>
          <w:noProof/>
        </w:rPr>
        <w:t>the I</w:t>
      </w:r>
      <w:r w:rsidR="006C70C4">
        <w:rPr>
          <w:noProof/>
        </w:rPr>
        <w:t xml:space="preserve">mpact </w:t>
      </w:r>
      <w:r w:rsidR="006C70C4" w:rsidRPr="007D4509">
        <w:rPr>
          <w:noProof/>
        </w:rPr>
        <w:t>A</w:t>
      </w:r>
      <w:r w:rsidR="006C70C4">
        <w:rPr>
          <w:noProof/>
        </w:rPr>
        <w:t>ssessment</w:t>
      </w:r>
      <w:r w:rsidR="006C70C4" w:rsidRPr="007D4509">
        <w:rPr>
          <w:noProof/>
        </w:rPr>
        <w:t xml:space="preserve"> report</w:t>
      </w:r>
      <w:r w:rsidR="006C70C4">
        <w:rPr>
          <w:noProof/>
        </w:rPr>
        <w:t xml:space="preserve">, </w:t>
      </w:r>
      <w:r w:rsidR="00E53719">
        <w:rPr>
          <w:noProof/>
        </w:rPr>
        <w:t>Annex 2: Stakeholder consultation</w:t>
      </w:r>
      <w:r w:rsidR="006C70C4" w:rsidRPr="007D4509">
        <w:rPr>
          <w:noProof/>
        </w:rPr>
        <w:t xml:space="preserve"> and </w:t>
      </w:r>
      <w:r>
        <w:rPr>
          <w:noProof/>
        </w:rPr>
        <w:t xml:space="preserve">Annex </w:t>
      </w:r>
      <w:r w:rsidR="006C70C4" w:rsidRPr="007D4509">
        <w:rPr>
          <w:noProof/>
        </w:rPr>
        <w:t>4</w:t>
      </w:r>
      <w:r w:rsidR="006C70C4">
        <w:rPr>
          <w:noProof/>
        </w:rPr>
        <w:t>: Analytical methods</w:t>
      </w:r>
      <w:r>
        <w:rPr>
          <w:noProof/>
        </w:rPr>
        <w:t xml:space="preserve">. The input from these </w:t>
      </w:r>
      <w:r w:rsidR="003D1A1E">
        <w:rPr>
          <w:noProof/>
        </w:rPr>
        <w:t>sources</w:t>
      </w:r>
      <w:r>
        <w:rPr>
          <w:noProof/>
        </w:rPr>
        <w:t xml:space="preserve"> was collected and processed by the experts in the Company Law Unit of DG JUST (JUST A3).</w:t>
      </w:r>
    </w:p>
    <w:p w14:paraId="2EAFDFCC" w14:textId="77777777" w:rsidR="006B087E" w:rsidRPr="00F92EAE" w:rsidRDefault="006B087E" w:rsidP="000E3086">
      <w:pPr>
        <w:rPr>
          <w:rFonts w:eastAsia="Times New Roman"/>
          <w:noProof/>
          <w:szCs w:val="20"/>
        </w:rPr>
      </w:pPr>
      <w:r w:rsidRPr="00F92EAE">
        <w:rPr>
          <w:noProof/>
        </w:rPr>
        <w:br w:type="page"/>
      </w:r>
    </w:p>
    <w:p w14:paraId="2C295793" w14:textId="77777777" w:rsidR="006B087E" w:rsidRPr="007073AD" w:rsidRDefault="006B087E" w:rsidP="00C22AB4">
      <w:pPr>
        <w:pStyle w:val="AnnexTitle"/>
        <w:rPr>
          <w:noProof/>
          <w:lang w:val="en-IE"/>
        </w:rPr>
      </w:pPr>
      <w:bookmarkStart w:id="11" w:name="_Toc219390715"/>
      <w:r w:rsidRPr="007073AD">
        <w:rPr>
          <w:noProof/>
          <w:lang w:val="en-IE"/>
        </w:rPr>
        <w:t xml:space="preserve">Annex 2: Stakeholder consultation </w:t>
      </w:r>
      <w:r w:rsidR="00A84A61" w:rsidRPr="007073AD">
        <w:rPr>
          <w:noProof/>
          <w:lang w:val="en-IE"/>
        </w:rPr>
        <w:t>(Synopsis report)</w:t>
      </w:r>
      <w:bookmarkEnd w:id="11"/>
    </w:p>
    <w:p w14:paraId="5F799A77" w14:textId="3B4ED749" w:rsidR="008A1F27" w:rsidRDefault="007C2D48" w:rsidP="000E3086">
      <w:pPr>
        <w:rPr>
          <w:noProof/>
        </w:rPr>
      </w:pPr>
      <w:r>
        <w:rPr>
          <w:noProof/>
        </w:rPr>
        <w:t>T</w:t>
      </w:r>
      <w:r w:rsidRPr="007C2D48">
        <w:rPr>
          <w:noProof/>
        </w:rPr>
        <w:t xml:space="preserve">he objective of the consultation activities was to gather data evidence and stakeholder views </w:t>
      </w:r>
      <w:r w:rsidR="00E470B7">
        <w:rPr>
          <w:noProof/>
        </w:rPr>
        <w:t>about</w:t>
      </w:r>
      <w:r w:rsidR="001047FF">
        <w:rPr>
          <w:noProof/>
        </w:rPr>
        <w:t>:</w:t>
      </w:r>
    </w:p>
    <w:p w14:paraId="2735C762" w14:textId="2ED984AD" w:rsidR="001047FF" w:rsidRDefault="008A1F27" w:rsidP="00B87DBD">
      <w:pPr>
        <w:pStyle w:val="ListParagraph"/>
        <w:numPr>
          <w:ilvl w:val="0"/>
          <w:numId w:val="8"/>
        </w:numPr>
        <w:rPr>
          <w:noProof/>
        </w:rPr>
      </w:pPr>
      <w:r w:rsidRPr="008A1F27">
        <w:rPr>
          <w:noProof/>
        </w:rPr>
        <w:t xml:space="preserve">Existence of problems in the areas to be covered by this initiative; </w:t>
      </w:r>
    </w:p>
    <w:p w14:paraId="7D2C0C2A" w14:textId="77777777" w:rsidR="001047FF" w:rsidRDefault="008A1F27" w:rsidP="00B87DBD">
      <w:pPr>
        <w:pStyle w:val="ListParagraph"/>
        <w:numPr>
          <w:ilvl w:val="0"/>
          <w:numId w:val="8"/>
        </w:numPr>
        <w:rPr>
          <w:noProof/>
        </w:rPr>
      </w:pPr>
      <w:r w:rsidRPr="008A1F27">
        <w:rPr>
          <w:noProof/>
        </w:rPr>
        <w:t xml:space="preserve">Different policy options, which can be considered in the areas to be covered by this initiative; </w:t>
      </w:r>
    </w:p>
    <w:p w14:paraId="5CDB1A36" w14:textId="552EBD96" w:rsidR="00767248" w:rsidRPr="00F92EAE" w:rsidRDefault="008A1F27" w:rsidP="00B87DBD">
      <w:pPr>
        <w:pStyle w:val="ListParagraph"/>
        <w:numPr>
          <w:ilvl w:val="0"/>
          <w:numId w:val="8"/>
        </w:numPr>
        <w:rPr>
          <w:noProof/>
        </w:rPr>
      </w:pPr>
      <w:r w:rsidRPr="008A1F27">
        <w:rPr>
          <w:noProof/>
        </w:rPr>
        <w:t>Data to assess better the costs and benefits of different policy options.</w:t>
      </w:r>
    </w:p>
    <w:p w14:paraId="1FB9F198" w14:textId="6AD7E8AA" w:rsidR="001725E6" w:rsidRPr="00F92EAE" w:rsidRDefault="001725E6" w:rsidP="001725E6">
      <w:pPr>
        <w:rPr>
          <w:noProof/>
        </w:rPr>
      </w:pPr>
      <w:r>
        <w:rPr>
          <w:noProof/>
        </w:rPr>
        <w:t xml:space="preserve">This Annex </w:t>
      </w:r>
      <w:r w:rsidR="00B9624E">
        <w:rPr>
          <w:noProof/>
        </w:rPr>
        <w:t>includes the description of the methodology used by the Commission services when carrying out the consultation activities</w:t>
      </w:r>
      <w:r w:rsidR="004C5DF9">
        <w:rPr>
          <w:noProof/>
        </w:rPr>
        <w:t xml:space="preserve"> and </w:t>
      </w:r>
      <w:r w:rsidR="00DD5D48">
        <w:rPr>
          <w:noProof/>
        </w:rPr>
        <w:t>the an</w:t>
      </w:r>
      <w:r w:rsidR="0030278A">
        <w:rPr>
          <w:noProof/>
        </w:rPr>
        <w:t xml:space="preserve">alysis of results of these consultation activities by the main issues </w:t>
      </w:r>
      <w:r w:rsidR="0097501E">
        <w:rPr>
          <w:noProof/>
        </w:rPr>
        <w:t xml:space="preserve">relevant for this impact assessment. </w:t>
      </w:r>
    </w:p>
    <w:p w14:paraId="6BD13780" w14:textId="77777777" w:rsidR="006D1B80" w:rsidRPr="006649DE" w:rsidRDefault="001725E6" w:rsidP="00DE5A34">
      <w:pPr>
        <w:pStyle w:val="Heading1"/>
        <w:numPr>
          <w:ilvl w:val="0"/>
          <w:numId w:val="12"/>
        </w:numPr>
        <w:rPr>
          <w:noProof/>
          <w:lang w:val="en-IE"/>
        </w:rPr>
      </w:pPr>
      <w:bookmarkStart w:id="12" w:name="_Toc219390716"/>
      <w:r w:rsidRPr="006649DE">
        <w:rPr>
          <w:noProof/>
          <w:lang w:val="en-IE"/>
        </w:rPr>
        <w:t>Consultation activities and sources of information</w:t>
      </w:r>
      <w:bookmarkEnd w:id="12"/>
    </w:p>
    <w:p w14:paraId="6C0BEB3B" w14:textId="41DEF085" w:rsidR="004D5634" w:rsidRDefault="004D5634" w:rsidP="006D1B80">
      <w:pPr>
        <w:rPr>
          <w:noProof/>
        </w:rPr>
      </w:pPr>
      <w:r w:rsidRPr="7137A927">
        <w:rPr>
          <w:rFonts w:eastAsia="Calibri"/>
          <w:noProof/>
        </w:rPr>
        <w:t xml:space="preserve">The </w:t>
      </w:r>
      <w:r w:rsidRPr="00526DBA">
        <w:rPr>
          <w:rFonts w:eastAsia="Calibri"/>
          <w:b/>
          <w:noProof/>
        </w:rPr>
        <w:t>public consultation</w:t>
      </w:r>
      <w:r w:rsidRPr="004D5634">
        <w:rPr>
          <w:rFonts w:eastAsia="Calibri"/>
          <w:noProof/>
        </w:rPr>
        <w:t xml:space="preserve"> on the 28</w:t>
      </w:r>
      <w:r w:rsidRPr="004D5634">
        <w:rPr>
          <w:rFonts w:eastAsia="Calibri"/>
          <w:noProof/>
          <w:vertAlign w:val="superscript"/>
        </w:rPr>
        <w:t>th</w:t>
      </w:r>
      <w:r w:rsidRPr="004D5634">
        <w:rPr>
          <w:rFonts w:eastAsia="Calibri"/>
          <w:noProof/>
        </w:rPr>
        <w:t xml:space="preserve"> regime and the </w:t>
      </w:r>
      <w:r w:rsidRPr="00526DBA">
        <w:rPr>
          <w:rFonts w:eastAsia="Calibri"/>
          <w:b/>
          <w:noProof/>
        </w:rPr>
        <w:t>call for evidence</w:t>
      </w:r>
      <w:r w:rsidRPr="004D5634">
        <w:rPr>
          <w:rFonts w:eastAsia="Calibri"/>
          <w:noProof/>
        </w:rPr>
        <w:t xml:space="preserve"> were launched on 8 July </w:t>
      </w:r>
      <w:r>
        <w:rPr>
          <w:rFonts w:eastAsia="Calibri"/>
          <w:noProof/>
        </w:rPr>
        <w:t xml:space="preserve">and lasted till </w:t>
      </w:r>
      <w:r w:rsidRPr="004D5634">
        <w:rPr>
          <w:rFonts w:eastAsia="Calibri"/>
          <w:noProof/>
        </w:rPr>
        <w:t>30 September.</w:t>
      </w:r>
      <w:r>
        <w:rPr>
          <w:rFonts w:eastAsia="Calibri"/>
          <w:noProof/>
        </w:rPr>
        <w:t xml:space="preserve"> </w:t>
      </w:r>
      <w:r w:rsidR="00BD3CFF">
        <w:rPr>
          <w:rFonts w:eastAsia="Calibri"/>
          <w:noProof/>
        </w:rPr>
        <w:t>The consultation was launched in English only and the deadline of 12</w:t>
      </w:r>
      <w:r w:rsidR="00E36836">
        <w:rPr>
          <w:rFonts w:eastAsia="Calibri"/>
          <w:noProof/>
        </w:rPr>
        <w:t> </w:t>
      </w:r>
      <w:r w:rsidR="00BD3CFF">
        <w:rPr>
          <w:rFonts w:eastAsia="Calibri"/>
          <w:noProof/>
        </w:rPr>
        <w:t xml:space="preserve">weeks counted from that publication. The </w:t>
      </w:r>
      <w:r w:rsidR="008F687C">
        <w:rPr>
          <w:rFonts w:eastAsia="Calibri"/>
          <w:noProof/>
        </w:rPr>
        <w:t>separate</w:t>
      </w:r>
      <w:r w:rsidR="00BD3CFF">
        <w:rPr>
          <w:rFonts w:eastAsia="Calibri"/>
          <w:noProof/>
        </w:rPr>
        <w:t xml:space="preserve"> call for evidence </w:t>
      </w:r>
      <w:r w:rsidR="008F687C">
        <w:rPr>
          <w:rFonts w:eastAsia="Calibri"/>
          <w:noProof/>
        </w:rPr>
        <w:t xml:space="preserve">document </w:t>
      </w:r>
      <w:r w:rsidR="00BD3CFF">
        <w:rPr>
          <w:rFonts w:eastAsia="Calibri"/>
          <w:noProof/>
        </w:rPr>
        <w:t>was published in all EU languages from the outset.</w:t>
      </w:r>
    </w:p>
    <w:p w14:paraId="3B5ADBDD" w14:textId="1B14FA8E" w:rsidR="00D86F2A" w:rsidRPr="007073AD" w:rsidRDefault="00C76500" w:rsidP="006D1B80">
      <w:pPr>
        <w:rPr>
          <w:noProof/>
        </w:rPr>
      </w:pPr>
      <w:r w:rsidRPr="004F21A9">
        <w:rPr>
          <w:noProof/>
        </w:rPr>
        <w:t>A total of 1</w:t>
      </w:r>
      <w:r w:rsidR="00E36836">
        <w:rPr>
          <w:noProof/>
        </w:rPr>
        <w:t> </w:t>
      </w:r>
      <w:r w:rsidRPr="004F21A9">
        <w:rPr>
          <w:noProof/>
        </w:rPr>
        <w:t>4</w:t>
      </w:r>
      <w:r>
        <w:rPr>
          <w:noProof/>
        </w:rPr>
        <w:t>70</w:t>
      </w:r>
      <w:r w:rsidRPr="004F21A9">
        <w:rPr>
          <w:noProof/>
        </w:rPr>
        <w:t xml:space="preserve"> stakeholders </w:t>
      </w:r>
      <w:r w:rsidR="00816432" w:rsidRPr="004F21A9">
        <w:rPr>
          <w:noProof/>
        </w:rPr>
        <w:t>responded to</w:t>
      </w:r>
      <w:r w:rsidR="00526317" w:rsidRPr="004F21A9">
        <w:rPr>
          <w:noProof/>
        </w:rPr>
        <w:t xml:space="preserve"> the public consultation</w:t>
      </w:r>
      <w:r w:rsidRPr="004F21A9">
        <w:rPr>
          <w:noProof/>
        </w:rPr>
        <w:t xml:space="preserve">. Beyond the replies to closed-ended questions, </w:t>
      </w:r>
      <w:r w:rsidRPr="004F21A9" w:rsidDel="00F905D4">
        <w:rPr>
          <w:noProof/>
        </w:rPr>
        <w:t xml:space="preserve">more than </w:t>
      </w:r>
      <w:r w:rsidRPr="004F21A9">
        <w:rPr>
          <w:noProof/>
        </w:rPr>
        <w:t>21</w:t>
      </w:r>
      <w:r w:rsidR="00E36836">
        <w:rPr>
          <w:noProof/>
        </w:rPr>
        <w:t> </w:t>
      </w:r>
      <w:r w:rsidRPr="004F21A9">
        <w:rPr>
          <w:noProof/>
        </w:rPr>
        <w:t xml:space="preserve">000 written submissions to open questions were received. In addition, 113 position papers were submitted as part of the consultation. </w:t>
      </w:r>
      <w:r w:rsidRPr="007073AD">
        <w:rPr>
          <w:noProof/>
        </w:rPr>
        <w:t>The call for evidence received 879 replies</w:t>
      </w:r>
      <w:r w:rsidR="009C4515">
        <w:rPr>
          <w:noProof/>
        </w:rPr>
        <w:t>, which are all published on the Commission Have Your Say website</w:t>
      </w:r>
      <w:r w:rsidR="009C4515">
        <w:rPr>
          <w:rStyle w:val="FootnoteReference"/>
          <w:noProof/>
        </w:rPr>
        <w:footnoteReference w:id="3"/>
      </w:r>
      <w:r w:rsidRPr="007073AD">
        <w:rPr>
          <w:noProof/>
        </w:rPr>
        <w:t xml:space="preserve">.  </w:t>
      </w:r>
    </w:p>
    <w:p w14:paraId="14267992" w14:textId="3DEE31C5" w:rsidR="00D67F18" w:rsidRPr="007073AD" w:rsidRDefault="00713013" w:rsidP="00D67F18">
      <w:pPr>
        <w:spacing w:after="120"/>
        <w:rPr>
          <w:noProof/>
        </w:rPr>
      </w:pPr>
      <w:r w:rsidRPr="2E4CC8D9">
        <w:rPr>
          <w:noProof/>
        </w:rPr>
        <w:t>Two stakeholder groups account</w:t>
      </w:r>
      <w:r>
        <w:rPr>
          <w:noProof/>
        </w:rPr>
        <w:t>ed</w:t>
      </w:r>
      <w:r w:rsidRPr="2E4CC8D9">
        <w:rPr>
          <w:noProof/>
        </w:rPr>
        <w:t xml:space="preserve"> for over 80% of the total answers</w:t>
      </w:r>
      <w:r>
        <w:rPr>
          <w:noProof/>
        </w:rPr>
        <w:t xml:space="preserve"> to the public consultation</w:t>
      </w:r>
      <w:r w:rsidRPr="2E4CC8D9">
        <w:rPr>
          <w:noProof/>
        </w:rPr>
        <w:t xml:space="preserve">: 690 (47%) responses </w:t>
      </w:r>
      <w:r>
        <w:rPr>
          <w:noProof/>
        </w:rPr>
        <w:t xml:space="preserve">were received </w:t>
      </w:r>
      <w:r w:rsidRPr="2E4CC8D9">
        <w:rPr>
          <w:noProof/>
        </w:rPr>
        <w:t xml:space="preserve">from EU citizens (who </w:t>
      </w:r>
      <w:r>
        <w:rPr>
          <w:noProof/>
        </w:rPr>
        <w:t>were</w:t>
      </w:r>
      <w:r w:rsidRPr="2E4CC8D9">
        <w:rPr>
          <w:noProof/>
        </w:rPr>
        <w:t xml:space="preserve"> mostly founders given that around 62% of them had set up a company</w:t>
      </w:r>
      <w:r>
        <w:rPr>
          <w:noProof/>
        </w:rPr>
        <w:t>,</w:t>
      </w:r>
      <w:r w:rsidRPr="2E4CC8D9">
        <w:rPr>
          <w:noProof/>
        </w:rPr>
        <w:t xml:space="preserve"> but also investors)</w:t>
      </w:r>
      <w:r>
        <w:rPr>
          <w:noProof/>
        </w:rPr>
        <w:t xml:space="preserve"> and</w:t>
      </w:r>
      <w:r w:rsidRPr="2E4CC8D9">
        <w:rPr>
          <w:noProof/>
        </w:rPr>
        <w:t xml:space="preserve"> 534 (36%) from companies. </w:t>
      </w:r>
      <w:r w:rsidR="00CB6D60" w:rsidRPr="007073AD">
        <w:rPr>
          <w:noProof/>
        </w:rPr>
        <w:t>61%</w:t>
      </w:r>
      <w:r w:rsidR="003D24DE">
        <w:rPr>
          <w:noProof/>
        </w:rPr>
        <w:t xml:space="preserve"> of the</w:t>
      </w:r>
      <w:r w:rsidR="00CB6D60" w:rsidRPr="007073AD">
        <w:rPr>
          <w:noProof/>
        </w:rPr>
        <w:t xml:space="preserve"> companies were </w:t>
      </w:r>
      <w:r w:rsidR="00F60BB6">
        <w:rPr>
          <w:noProof/>
        </w:rPr>
        <w:t xml:space="preserve">- </w:t>
      </w:r>
      <w:r w:rsidR="00CB6D60" w:rsidRPr="007073AD">
        <w:rPr>
          <w:noProof/>
        </w:rPr>
        <w:t>micro (1 to 9 employees), 24%</w:t>
      </w:r>
      <w:r w:rsidR="00573B99" w:rsidRPr="007073AD">
        <w:rPr>
          <w:noProof/>
        </w:rPr>
        <w:t xml:space="preserve"> - s</w:t>
      </w:r>
      <w:r w:rsidR="00CB6D60" w:rsidRPr="007073AD">
        <w:rPr>
          <w:noProof/>
        </w:rPr>
        <w:t>mall (10 to 49 employees), 11%</w:t>
      </w:r>
      <w:r w:rsidR="00573B99" w:rsidRPr="007073AD">
        <w:rPr>
          <w:noProof/>
        </w:rPr>
        <w:t xml:space="preserve"> -</w:t>
      </w:r>
      <w:r w:rsidR="00CB6D60" w:rsidRPr="007073AD">
        <w:rPr>
          <w:noProof/>
        </w:rPr>
        <w:t xml:space="preserve"> medium (50 to 249 employees) and 4%</w:t>
      </w:r>
      <w:r w:rsidR="00573B99" w:rsidRPr="007073AD">
        <w:rPr>
          <w:noProof/>
        </w:rPr>
        <w:t xml:space="preserve"> -</w:t>
      </w:r>
      <w:r w:rsidR="00CB6D60" w:rsidRPr="007073AD">
        <w:rPr>
          <w:noProof/>
        </w:rPr>
        <w:t xml:space="preserve"> large (250 or more employees). Thus, 96% of company responses to the public consultation were from SMEs.</w:t>
      </w:r>
      <w:r w:rsidR="00D67F18" w:rsidRPr="007073AD">
        <w:rPr>
          <w:noProof/>
        </w:rPr>
        <w:t xml:space="preserve"> </w:t>
      </w:r>
    </w:p>
    <w:p w14:paraId="53AAA8AC" w14:textId="75F81985" w:rsidR="00656C8A" w:rsidRDefault="009608B6" w:rsidP="004F0051">
      <w:pPr>
        <w:spacing w:after="120"/>
        <w:rPr>
          <w:noProof/>
        </w:rPr>
      </w:pPr>
      <w:r>
        <w:rPr>
          <w:noProof/>
        </w:rPr>
        <w:t xml:space="preserve">Otherwise, </w:t>
      </w:r>
      <w:r w:rsidRPr="2E4CC8D9">
        <w:rPr>
          <w:noProof/>
        </w:rPr>
        <w:t xml:space="preserve">76 replies </w:t>
      </w:r>
      <w:r>
        <w:rPr>
          <w:noProof/>
        </w:rPr>
        <w:t xml:space="preserve">were submitted by EU level and national </w:t>
      </w:r>
      <w:r w:rsidRPr="2E4CC8D9">
        <w:rPr>
          <w:noProof/>
        </w:rPr>
        <w:t>business associations</w:t>
      </w:r>
      <w:r w:rsidR="00947AE9">
        <w:rPr>
          <w:noProof/>
        </w:rPr>
        <w:t>;</w:t>
      </w:r>
      <w:r w:rsidRPr="2E4CC8D9">
        <w:rPr>
          <w:noProof/>
        </w:rPr>
        <w:t xml:space="preserve"> 56 </w:t>
      </w:r>
      <w:r w:rsidR="00A66605">
        <w:rPr>
          <w:noProof/>
        </w:rPr>
        <w:t>-</w:t>
      </w:r>
      <w:r>
        <w:rPr>
          <w:noProof/>
        </w:rPr>
        <w:t xml:space="preserve"> </w:t>
      </w:r>
      <w:r w:rsidRPr="2E4CC8D9">
        <w:rPr>
          <w:noProof/>
        </w:rPr>
        <w:t xml:space="preserve">under the “other” category </w:t>
      </w:r>
      <w:r>
        <w:rPr>
          <w:noProof/>
        </w:rPr>
        <w:t xml:space="preserve">and </w:t>
      </w:r>
      <w:r w:rsidRPr="2E4CC8D9">
        <w:rPr>
          <w:noProof/>
        </w:rPr>
        <w:t>includ</w:t>
      </w:r>
      <w:r>
        <w:rPr>
          <w:noProof/>
        </w:rPr>
        <w:t>ed</w:t>
      </w:r>
      <w:r w:rsidRPr="2E4CC8D9">
        <w:rPr>
          <w:noProof/>
        </w:rPr>
        <w:t xml:space="preserve"> legal professionals</w:t>
      </w:r>
      <w:r>
        <w:rPr>
          <w:noProof/>
        </w:rPr>
        <w:t xml:space="preserve">, i.e. </w:t>
      </w:r>
      <w:r w:rsidRPr="2E4CC8D9">
        <w:rPr>
          <w:noProof/>
        </w:rPr>
        <w:t>notaries</w:t>
      </w:r>
      <w:r>
        <w:rPr>
          <w:noProof/>
        </w:rPr>
        <w:t xml:space="preserve"> and lawyers as well as</w:t>
      </w:r>
      <w:r w:rsidRPr="2E4CC8D9">
        <w:rPr>
          <w:noProof/>
        </w:rPr>
        <w:t xml:space="preserve"> </w:t>
      </w:r>
      <w:r>
        <w:rPr>
          <w:noProof/>
        </w:rPr>
        <w:t>organisations representing tax advisers and accountants</w:t>
      </w:r>
      <w:r w:rsidRPr="2E4CC8D9">
        <w:rPr>
          <w:noProof/>
        </w:rPr>
        <w:t xml:space="preserve">, chambers of commerce </w:t>
      </w:r>
      <w:r>
        <w:rPr>
          <w:noProof/>
        </w:rPr>
        <w:t xml:space="preserve">and other organisations including </w:t>
      </w:r>
      <w:r w:rsidR="000444A2">
        <w:rPr>
          <w:noProof/>
        </w:rPr>
        <w:t>those</w:t>
      </w:r>
      <w:r>
        <w:rPr>
          <w:noProof/>
        </w:rPr>
        <w:t xml:space="preserve"> representing founders and startup community</w:t>
      </w:r>
      <w:r w:rsidR="00947AE9">
        <w:rPr>
          <w:noProof/>
        </w:rPr>
        <w:t>; and</w:t>
      </w:r>
      <w:r w:rsidRPr="2E4CC8D9">
        <w:rPr>
          <w:noProof/>
        </w:rPr>
        <w:t xml:space="preserve"> 18 </w:t>
      </w:r>
      <w:r>
        <w:rPr>
          <w:noProof/>
        </w:rPr>
        <w:t xml:space="preserve">replies </w:t>
      </w:r>
      <w:r w:rsidR="00947AE9">
        <w:rPr>
          <w:noProof/>
        </w:rPr>
        <w:t>-</w:t>
      </w:r>
      <w:r>
        <w:rPr>
          <w:noProof/>
        </w:rPr>
        <w:t xml:space="preserve"> </w:t>
      </w:r>
      <w:r w:rsidRPr="2E4CC8D9">
        <w:rPr>
          <w:noProof/>
        </w:rPr>
        <w:t xml:space="preserve">from </w:t>
      </w:r>
      <w:r>
        <w:rPr>
          <w:noProof/>
        </w:rPr>
        <w:t xml:space="preserve">EU level and national </w:t>
      </w:r>
      <w:r w:rsidRPr="2E4CC8D9">
        <w:rPr>
          <w:noProof/>
        </w:rPr>
        <w:t>trade unions</w:t>
      </w:r>
      <w:r>
        <w:rPr>
          <w:noProof/>
        </w:rPr>
        <w:t>. There were</w:t>
      </w:r>
      <w:r w:rsidRPr="2E4CC8D9">
        <w:rPr>
          <w:noProof/>
        </w:rPr>
        <w:t xml:space="preserve"> 15 </w:t>
      </w:r>
      <w:r>
        <w:rPr>
          <w:noProof/>
        </w:rPr>
        <w:t xml:space="preserve">replies </w:t>
      </w:r>
      <w:r w:rsidRPr="2E4CC8D9">
        <w:rPr>
          <w:noProof/>
        </w:rPr>
        <w:t>from public authorities</w:t>
      </w:r>
      <w:r>
        <w:rPr>
          <w:noProof/>
        </w:rPr>
        <w:t xml:space="preserve"> </w:t>
      </w:r>
      <w:r w:rsidRPr="007073AD">
        <w:rPr>
          <w:noProof/>
        </w:rPr>
        <w:t>from 13 Member States</w:t>
      </w:r>
      <w:r w:rsidR="00CD7728" w:rsidRPr="007073AD">
        <w:rPr>
          <w:noProof/>
        </w:rPr>
        <w:t xml:space="preserve"> </w:t>
      </w:r>
      <w:r w:rsidR="00FB4404" w:rsidRPr="007073AD">
        <w:rPr>
          <w:noProof/>
        </w:rPr>
        <w:t>(</w:t>
      </w:r>
      <w:r w:rsidR="00136F2F" w:rsidRPr="007073AD">
        <w:rPr>
          <w:noProof/>
        </w:rPr>
        <w:t xml:space="preserve">Austria, </w:t>
      </w:r>
      <w:r w:rsidR="00896355" w:rsidRPr="007073AD">
        <w:rPr>
          <w:noProof/>
        </w:rPr>
        <w:t xml:space="preserve">Belgium, </w:t>
      </w:r>
      <w:r w:rsidR="00FB4404" w:rsidRPr="007073AD">
        <w:rPr>
          <w:noProof/>
        </w:rPr>
        <w:t>C</w:t>
      </w:r>
      <w:r w:rsidR="00136F2F" w:rsidRPr="007073AD">
        <w:rPr>
          <w:noProof/>
        </w:rPr>
        <w:t>zechia</w:t>
      </w:r>
      <w:r w:rsidR="00FB4404" w:rsidRPr="007073AD">
        <w:rPr>
          <w:noProof/>
        </w:rPr>
        <w:t xml:space="preserve">, </w:t>
      </w:r>
      <w:r w:rsidR="00874165" w:rsidRPr="007073AD">
        <w:rPr>
          <w:noProof/>
        </w:rPr>
        <w:t xml:space="preserve">Denmark, </w:t>
      </w:r>
      <w:r w:rsidR="00FB4404" w:rsidRPr="007073AD">
        <w:rPr>
          <w:noProof/>
        </w:rPr>
        <w:t>E</w:t>
      </w:r>
      <w:r w:rsidR="00136F2F" w:rsidRPr="007073AD">
        <w:rPr>
          <w:noProof/>
        </w:rPr>
        <w:t>stonia</w:t>
      </w:r>
      <w:r w:rsidR="00FB4404" w:rsidRPr="007073AD">
        <w:rPr>
          <w:noProof/>
        </w:rPr>
        <w:t xml:space="preserve">, </w:t>
      </w:r>
      <w:r w:rsidR="006E562E" w:rsidRPr="007073AD">
        <w:rPr>
          <w:noProof/>
        </w:rPr>
        <w:t xml:space="preserve">France, </w:t>
      </w:r>
      <w:r w:rsidR="0035117F" w:rsidRPr="007073AD">
        <w:rPr>
          <w:noProof/>
        </w:rPr>
        <w:t xml:space="preserve">Latvia, </w:t>
      </w:r>
      <w:r w:rsidR="00FB4404" w:rsidRPr="007073AD">
        <w:rPr>
          <w:noProof/>
        </w:rPr>
        <w:t>L</w:t>
      </w:r>
      <w:r w:rsidR="00136F2F" w:rsidRPr="007073AD">
        <w:rPr>
          <w:noProof/>
        </w:rPr>
        <w:t>uxembourg,</w:t>
      </w:r>
      <w:r w:rsidR="00FB4404" w:rsidRPr="007073AD">
        <w:rPr>
          <w:noProof/>
        </w:rPr>
        <w:t xml:space="preserve"> S</w:t>
      </w:r>
      <w:r w:rsidR="00136F2F" w:rsidRPr="007073AD">
        <w:rPr>
          <w:noProof/>
        </w:rPr>
        <w:t>lovakia</w:t>
      </w:r>
      <w:r w:rsidR="00FB4404" w:rsidRPr="007073AD">
        <w:rPr>
          <w:noProof/>
        </w:rPr>
        <w:t xml:space="preserve">, </w:t>
      </w:r>
      <w:r w:rsidR="00874165" w:rsidRPr="007073AD">
        <w:rPr>
          <w:noProof/>
        </w:rPr>
        <w:t xml:space="preserve">Spain, </w:t>
      </w:r>
      <w:r w:rsidR="00FB4404" w:rsidRPr="007073AD">
        <w:rPr>
          <w:noProof/>
        </w:rPr>
        <w:t>P</w:t>
      </w:r>
      <w:r w:rsidR="00136F2F" w:rsidRPr="007073AD">
        <w:rPr>
          <w:noProof/>
        </w:rPr>
        <w:t>oland</w:t>
      </w:r>
      <w:r w:rsidR="00FB4404" w:rsidRPr="007073AD">
        <w:rPr>
          <w:noProof/>
        </w:rPr>
        <w:t>, I</w:t>
      </w:r>
      <w:r w:rsidR="00136F2F" w:rsidRPr="007073AD">
        <w:rPr>
          <w:noProof/>
        </w:rPr>
        <w:t xml:space="preserve">taly, the Netherlands), mostly from </w:t>
      </w:r>
      <w:r w:rsidRPr="007073AD">
        <w:rPr>
          <w:noProof/>
        </w:rPr>
        <w:t xml:space="preserve">Ministries of Justice </w:t>
      </w:r>
      <w:r w:rsidR="00136F2F" w:rsidRPr="007073AD">
        <w:rPr>
          <w:noProof/>
        </w:rPr>
        <w:t xml:space="preserve">but also </w:t>
      </w:r>
      <w:r w:rsidR="008A444A" w:rsidRPr="007073AD">
        <w:rPr>
          <w:noProof/>
        </w:rPr>
        <w:t xml:space="preserve">from </w:t>
      </w:r>
      <w:r w:rsidR="00136F2F" w:rsidRPr="007073AD">
        <w:rPr>
          <w:noProof/>
        </w:rPr>
        <w:t xml:space="preserve">other Ministries, </w:t>
      </w:r>
      <w:r w:rsidR="00FA5A31" w:rsidRPr="007073AD">
        <w:rPr>
          <w:noProof/>
        </w:rPr>
        <w:t xml:space="preserve">business registers and other public bodies </w:t>
      </w:r>
      <w:r w:rsidR="00AE71E7" w:rsidRPr="007073AD">
        <w:rPr>
          <w:noProof/>
        </w:rPr>
        <w:t xml:space="preserve">and agencies, including at regional level. </w:t>
      </w:r>
      <w:r w:rsidRPr="007073AD">
        <w:rPr>
          <w:noProof/>
        </w:rPr>
        <w:t xml:space="preserve">There were also </w:t>
      </w:r>
      <w:r w:rsidRPr="2E4CC8D9">
        <w:rPr>
          <w:noProof/>
        </w:rPr>
        <w:t xml:space="preserve">31 </w:t>
      </w:r>
      <w:r w:rsidR="00896355">
        <w:rPr>
          <w:noProof/>
        </w:rPr>
        <w:t xml:space="preserve">replies </w:t>
      </w:r>
      <w:r w:rsidRPr="2E4CC8D9">
        <w:rPr>
          <w:noProof/>
        </w:rPr>
        <w:t>from academic/research institutions</w:t>
      </w:r>
      <w:r>
        <w:rPr>
          <w:noProof/>
        </w:rPr>
        <w:t>,</w:t>
      </w:r>
      <w:r w:rsidRPr="2E4CC8D9">
        <w:rPr>
          <w:noProof/>
        </w:rPr>
        <w:t xml:space="preserve"> 29 </w:t>
      </w:r>
      <w:r w:rsidR="004F0051">
        <w:rPr>
          <w:noProof/>
        </w:rPr>
        <w:t xml:space="preserve">- </w:t>
      </w:r>
      <w:r w:rsidRPr="2E4CC8D9">
        <w:rPr>
          <w:noProof/>
        </w:rPr>
        <w:t xml:space="preserve">from non-EU citizens, 16 </w:t>
      </w:r>
      <w:r w:rsidR="00911108">
        <w:rPr>
          <w:noProof/>
        </w:rPr>
        <w:t xml:space="preserve">- </w:t>
      </w:r>
      <w:r w:rsidRPr="2E4CC8D9">
        <w:rPr>
          <w:noProof/>
        </w:rPr>
        <w:t xml:space="preserve">from NGOs </w:t>
      </w:r>
      <w:r>
        <w:rPr>
          <w:noProof/>
        </w:rPr>
        <w:t xml:space="preserve">and </w:t>
      </w:r>
      <w:r w:rsidRPr="2E4CC8D9">
        <w:rPr>
          <w:noProof/>
        </w:rPr>
        <w:t xml:space="preserve">2 </w:t>
      </w:r>
      <w:r>
        <w:rPr>
          <w:noProof/>
        </w:rPr>
        <w:t xml:space="preserve">replies </w:t>
      </w:r>
      <w:r w:rsidR="00BA0013">
        <w:rPr>
          <w:noProof/>
        </w:rPr>
        <w:t>- </w:t>
      </w:r>
      <w:r w:rsidRPr="2E4CC8D9">
        <w:rPr>
          <w:noProof/>
        </w:rPr>
        <w:t>from environmental organisations.</w:t>
      </w:r>
    </w:p>
    <w:p w14:paraId="63434340" w14:textId="25E922A7" w:rsidR="00180E45" w:rsidRPr="007073AD" w:rsidRDefault="00180E45" w:rsidP="00180E45">
      <w:pPr>
        <w:spacing w:after="120"/>
        <w:rPr>
          <w:noProof/>
        </w:rPr>
      </w:pPr>
      <w:r w:rsidRPr="249B2C69">
        <w:rPr>
          <w:noProof/>
          <w:lang w:val="en-IE"/>
        </w:rPr>
        <w:t>The</w:t>
      </w:r>
      <w:r w:rsidR="000B1B19" w:rsidRPr="249B2C69">
        <w:rPr>
          <w:noProof/>
          <w:lang w:val="en-IE"/>
        </w:rPr>
        <w:t xml:space="preserve">re were </w:t>
      </w:r>
      <w:r w:rsidRPr="249B2C69">
        <w:rPr>
          <w:noProof/>
          <w:lang w:val="en-IE"/>
        </w:rPr>
        <w:t>contributions from all EU M</w:t>
      </w:r>
      <w:r w:rsidR="000B1B19" w:rsidRPr="249B2C69">
        <w:rPr>
          <w:noProof/>
          <w:lang w:val="en-IE"/>
        </w:rPr>
        <w:t xml:space="preserve">ember </w:t>
      </w:r>
      <w:r w:rsidRPr="249B2C69">
        <w:rPr>
          <w:noProof/>
          <w:lang w:val="en-IE"/>
        </w:rPr>
        <w:t>S</w:t>
      </w:r>
      <w:r w:rsidR="000B1B19" w:rsidRPr="249B2C69">
        <w:rPr>
          <w:noProof/>
          <w:lang w:val="en-IE"/>
        </w:rPr>
        <w:t>tates</w:t>
      </w:r>
      <w:r w:rsidRPr="249B2C69">
        <w:rPr>
          <w:noProof/>
          <w:lang w:val="en-IE"/>
        </w:rPr>
        <w:t xml:space="preserve"> as well as from third countries. Most responses came from Germany (388 or 26%), followed by the Netherlands (157 or 10%), Italy (144 or 10%), France (94 or 6%) and Belgium (88 or 6%, including the replies from EU level associations). Non-EU responses were also received, among others from the UK, </w:t>
      </w:r>
      <w:r w:rsidRPr="249B2C69" w:rsidDel="00D86994">
        <w:rPr>
          <w:noProof/>
          <w:lang w:val="en-IE"/>
        </w:rPr>
        <w:t xml:space="preserve">the </w:t>
      </w:r>
      <w:r w:rsidRPr="249B2C69">
        <w:rPr>
          <w:noProof/>
          <w:lang w:val="en-IE"/>
        </w:rPr>
        <w:t>US, Switzerland and Norway.</w:t>
      </w:r>
    </w:p>
    <w:p w14:paraId="0E79DDE9" w14:textId="1248289E" w:rsidR="004F0051" w:rsidRDefault="0072447E" w:rsidP="004F0051">
      <w:pPr>
        <w:spacing w:after="120"/>
        <w:rPr>
          <w:noProof/>
        </w:rPr>
      </w:pPr>
      <w:r w:rsidRPr="0072447E">
        <w:rPr>
          <w:noProof/>
        </w:rPr>
        <w:t xml:space="preserve">It </w:t>
      </w:r>
      <w:r w:rsidR="00912FE3">
        <w:rPr>
          <w:noProof/>
        </w:rPr>
        <w:t>wa</w:t>
      </w:r>
      <w:r w:rsidRPr="0072447E">
        <w:rPr>
          <w:noProof/>
        </w:rPr>
        <w:t xml:space="preserve">s not mandatory to respond to all questions and the respondents </w:t>
      </w:r>
      <w:r w:rsidR="00912FE3">
        <w:rPr>
          <w:noProof/>
        </w:rPr>
        <w:t>were able to</w:t>
      </w:r>
      <w:r w:rsidRPr="0072447E">
        <w:rPr>
          <w:noProof/>
        </w:rPr>
        <w:t xml:space="preserve"> focus on issues that </w:t>
      </w:r>
      <w:r w:rsidR="00912FE3">
        <w:rPr>
          <w:noProof/>
        </w:rPr>
        <w:t>we</w:t>
      </w:r>
      <w:r w:rsidRPr="0072447E">
        <w:rPr>
          <w:noProof/>
        </w:rPr>
        <w:t xml:space="preserve">re of most relevance for them. In addition to replying to the questionnaire, the respondents </w:t>
      </w:r>
      <w:r w:rsidR="00CB03A1">
        <w:rPr>
          <w:noProof/>
        </w:rPr>
        <w:t>could</w:t>
      </w:r>
      <w:r w:rsidRPr="0072447E">
        <w:rPr>
          <w:noProof/>
        </w:rPr>
        <w:t xml:space="preserve"> also upload a file with a more detailed contribution</w:t>
      </w:r>
      <w:r w:rsidR="00CB03A1">
        <w:rPr>
          <w:noProof/>
        </w:rPr>
        <w:t xml:space="preserve">. </w:t>
      </w:r>
      <w:r w:rsidR="002210FA" w:rsidRPr="00912FE3">
        <w:rPr>
          <w:noProof/>
        </w:rPr>
        <w:t xml:space="preserve">Respondents made use of these options, and </w:t>
      </w:r>
      <w:r w:rsidR="002210FA">
        <w:rPr>
          <w:noProof/>
        </w:rPr>
        <w:t xml:space="preserve">as it is explained in the analysis below, </w:t>
      </w:r>
      <w:r w:rsidR="00B83DD6">
        <w:rPr>
          <w:noProof/>
        </w:rPr>
        <w:t xml:space="preserve">there were therefore different overall numbers </w:t>
      </w:r>
      <w:r w:rsidR="005D5AC1">
        <w:rPr>
          <w:noProof/>
        </w:rPr>
        <w:t xml:space="preserve">of </w:t>
      </w:r>
      <w:r w:rsidR="005D5AC1" w:rsidRPr="00912FE3">
        <w:rPr>
          <w:noProof/>
        </w:rPr>
        <w:t>respondents</w:t>
      </w:r>
      <w:r w:rsidR="00B83DD6">
        <w:rPr>
          <w:noProof/>
        </w:rPr>
        <w:t xml:space="preserve"> per different sections of the consultation</w:t>
      </w:r>
      <w:r w:rsidR="002210FA" w:rsidRPr="00912FE3">
        <w:rPr>
          <w:noProof/>
        </w:rPr>
        <w:t>.</w:t>
      </w:r>
    </w:p>
    <w:p w14:paraId="190A3A0E" w14:textId="6187EF7A" w:rsidR="00CB2830" w:rsidRDefault="005A0E61" w:rsidP="00CB2830">
      <w:pPr>
        <w:spacing w:after="120"/>
        <w:rPr>
          <w:noProof/>
        </w:rPr>
      </w:pPr>
      <w:r w:rsidRPr="005A0E61">
        <w:rPr>
          <w:noProof/>
        </w:rPr>
        <w:t xml:space="preserve">DG JUST organised </w:t>
      </w:r>
      <w:r w:rsidR="00821866" w:rsidRPr="007335AA">
        <w:rPr>
          <w:b/>
          <w:noProof/>
        </w:rPr>
        <w:t>2</w:t>
      </w:r>
      <w:r w:rsidRPr="007335AA">
        <w:rPr>
          <w:b/>
          <w:noProof/>
        </w:rPr>
        <w:t xml:space="preserve"> virtual </w:t>
      </w:r>
      <w:r w:rsidR="00821866" w:rsidRPr="007335AA">
        <w:rPr>
          <w:b/>
          <w:noProof/>
        </w:rPr>
        <w:t>workshops with companies</w:t>
      </w:r>
      <w:r w:rsidR="00821866">
        <w:rPr>
          <w:noProof/>
        </w:rPr>
        <w:t xml:space="preserve"> </w:t>
      </w:r>
      <w:r w:rsidR="00CB2830" w:rsidRPr="00CB2830">
        <w:rPr>
          <w:b/>
          <w:bCs/>
          <w:noProof/>
        </w:rPr>
        <w:t>and investors</w:t>
      </w:r>
      <w:r w:rsidR="00CB2830">
        <w:rPr>
          <w:noProof/>
        </w:rPr>
        <w:t xml:space="preserve"> </w:t>
      </w:r>
      <w:r w:rsidR="00821866">
        <w:rPr>
          <w:noProof/>
        </w:rPr>
        <w:t xml:space="preserve">in </w:t>
      </w:r>
      <w:r w:rsidR="00DF495F">
        <w:rPr>
          <w:noProof/>
        </w:rPr>
        <w:t>December 2025</w:t>
      </w:r>
      <w:r w:rsidR="00CB2830">
        <w:rPr>
          <w:noProof/>
        </w:rPr>
        <w:t>.</w:t>
      </w:r>
      <w:r w:rsidR="007335AA">
        <w:rPr>
          <w:noProof/>
        </w:rPr>
        <w:t xml:space="preserve"> </w:t>
      </w:r>
      <w:r w:rsidR="00104513">
        <w:rPr>
          <w:noProof/>
        </w:rPr>
        <w:t xml:space="preserve">One workshop </w:t>
      </w:r>
      <w:r w:rsidR="00F9246B">
        <w:rPr>
          <w:noProof/>
        </w:rPr>
        <w:t xml:space="preserve">focused on </w:t>
      </w:r>
      <w:r w:rsidR="00104513" w:rsidRPr="00104513">
        <w:rPr>
          <w:noProof/>
        </w:rPr>
        <w:t>discuss</w:t>
      </w:r>
      <w:r w:rsidR="00F9246B">
        <w:rPr>
          <w:noProof/>
        </w:rPr>
        <w:t>ing</w:t>
      </w:r>
      <w:r w:rsidR="00104513" w:rsidRPr="00104513">
        <w:rPr>
          <w:noProof/>
        </w:rPr>
        <w:t xml:space="preserve"> in more detail </w:t>
      </w:r>
      <w:r w:rsidR="00F9246B">
        <w:rPr>
          <w:noProof/>
        </w:rPr>
        <w:t>with founders</w:t>
      </w:r>
      <w:r w:rsidR="00E97948">
        <w:rPr>
          <w:noProof/>
        </w:rPr>
        <w:t>/</w:t>
      </w:r>
      <w:r w:rsidR="00F9246B">
        <w:rPr>
          <w:noProof/>
        </w:rPr>
        <w:t xml:space="preserve">companies </w:t>
      </w:r>
      <w:r w:rsidR="00104513" w:rsidRPr="00104513">
        <w:rPr>
          <w:noProof/>
        </w:rPr>
        <w:t xml:space="preserve">the corporate law related barriers </w:t>
      </w:r>
      <w:r w:rsidR="00E97948">
        <w:rPr>
          <w:noProof/>
        </w:rPr>
        <w:t>they</w:t>
      </w:r>
      <w:r w:rsidR="00104513" w:rsidRPr="00104513">
        <w:rPr>
          <w:noProof/>
        </w:rPr>
        <w:t xml:space="preserve"> experienced when setting up, running or closing down a company in the EU, and in particular costs of those</w:t>
      </w:r>
      <w:r w:rsidR="003C1CAB">
        <w:rPr>
          <w:noProof/>
        </w:rPr>
        <w:t xml:space="preserve">, as well as </w:t>
      </w:r>
      <w:r w:rsidR="003C1CAB" w:rsidRPr="00104513">
        <w:rPr>
          <w:noProof/>
        </w:rPr>
        <w:t>impacts/benefits</w:t>
      </w:r>
      <w:r w:rsidR="003C1CAB">
        <w:rPr>
          <w:noProof/>
        </w:rPr>
        <w:t xml:space="preserve"> that could be expected from the </w:t>
      </w:r>
      <w:r w:rsidR="00104513" w:rsidRPr="00104513">
        <w:rPr>
          <w:noProof/>
        </w:rPr>
        <w:t>measures set out in the consultation on the 28</w:t>
      </w:r>
      <w:r w:rsidR="00104513" w:rsidRPr="00104513">
        <w:rPr>
          <w:noProof/>
          <w:vertAlign w:val="superscript"/>
        </w:rPr>
        <w:t>th</w:t>
      </w:r>
      <w:r w:rsidR="00104513" w:rsidRPr="00104513">
        <w:rPr>
          <w:noProof/>
        </w:rPr>
        <w:t xml:space="preserve"> regime to provide for simple, flexible and fast procedures for the 28</w:t>
      </w:r>
      <w:r w:rsidR="00104513" w:rsidRPr="00622777">
        <w:rPr>
          <w:noProof/>
          <w:vertAlign w:val="superscript"/>
        </w:rPr>
        <w:t>th</w:t>
      </w:r>
      <w:r w:rsidR="00104513" w:rsidRPr="00104513">
        <w:rPr>
          <w:noProof/>
        </w:rPr>
        <w:t xml:space="preserve"> regime companies.</w:t>
      </w:r>
      <w:r w:rsidR="00E41622">
        <w:rPr>
          <w:noProof/>
        </w:rPr>
        <w:t xml:space="preserve"> The second workshop </w:t>
      </w:r>
      <w:r w:rsidR="00CF0A8F">
        <w:rPr>
          <w:noProof/>
        </w:rPr>
        <w:t xml:space="preserve">aimed </w:t>
      </w:r>
      <w:r w:rsidR="00CB2830" w:rsidRPr="00CB2830">
        <w:rPr>
          <w:noProof/>
        </w:rPr>
        <w:t xml:space="preserve">to discuss </w:t>
      </w:r>
      <w:r w:rsidR="00CF0A8F">
        <w:rPr>
          <w:noProof/>
        </w:rPr>
        <w:t>with companies and investors</w:t>
      </w:r>
      <w:r w:rsidR="00CB2830" w:rsidRPr="00CB2830">
        <w:rPr>
          <w:noProof/>
        </w:rPr>
        <w:t xml:space="preserve"> the corporate law related barriers </w:t>
      </w:r>
      <w:r w:rsidR="00CF0A8F">
        <w:rPr>
          <w:noProof/>
        </w:rPr>
        <w:t>they</w:t>
      </w:r>
      <w:r w:rsidR="00CB2830" w:rsidRPr="00CB2830">
        <w:rPr>
          <w:noProof/>
        </w:rPr>
        <w:t xml:space="preserve"> experienced when trying to attract investment </w:t>
      </w:r>
      <w:r w:rsidR="004E44C1">
        <w:rPr>
          <w:noProof/>
        </w:rPr>
        <w:t xml:space="preserve">or to </w:t>
      </w:r>
      <w:r w:rsidR="004E44C1" w:rsidRPr="00CB2830">
        <w:rPr>
          <w:noProof/>
        </w:rPr>
        <w:t xml:space="preserve">invest </w:t>
      </w:r>
      <w:r w:rsidR="00CB2830" w:rsidRPr="00CB2830">
        <w:rPr>
          <w:noProof/>
        </w:rPr>
        <w:t xml:space="preserve">in a company in the EU, </w:t>
      </w:r>
      <w:r w:rsidR="00CF0A8F">
        <w:rPr>
          <w:noProof/>
        </w:rPr>
        <w:t>including related</w:t>
      </w:r>
      <w:r w:rsidR="00CB2830" w:rsidRPr="00CB2830">
        <w:rPr>
          <w:noProof/>
        </w:rPr>
        <w:t xml:space="preserve"> costs</w:t>
      </w:r>
      <w:r w:rsidR="00CF0A8F">
        <w:rPr>
          <w:noProof/>
        </w:rPr>
        <w:t xml:space="preserve">, and </w:t>
      </w:r>
      <w:r w:rsidR="00D62516">
        <w:rPr>
          <w:noProof/>
        </w:rPr>
        <w:t xml:space="preserve">expected impacts/benefits of </w:t>
      </w:r>
      <w:r w:rsidR="00CB2830" w:rsidRPr="00CB2830">
        <w:rPr>
          <w:noProof/>
        </w:rPr>
        <w:t>measures set out in the consultation to make it easier to invest and to attract investment in 28</w:t>
      </w:r>
      <w:r w:rsidR="00CB2830" w:rsidRPr="00622777">
        <w:rPr>
          <w:noProof/>
          <w:vertAlign w:val="superscript"/>
        </w:rPr>
        <w:t>th</w:t>
      </w:r>
      <w:r w:rsidR="00CB2830" w:rsidRPr="00CB2830">
        <w:rPr>
          <w:noProof/>
        </w:rPr>
        <w:t xml:space="preserve"> regime companies.</w:t>
      </w:r>
    </w:p>
    <w:p w14:paraId="4F3F9497" w14:textId="58E4DD49" w:rsidR="00D62516" w:rsidRDefault="003565FD" w:rsidP="00CB2830">
      <w:pPr>
        <w:spacing w:after="120"/>
        <w:rPr>
          <w:noProof/>
        </w:rPr>
      </w:pPr>
      <w:r>
        <w:rPr>
          <w:noProof/>
        </w:rPr>
        <w:t xml:space="preserve">These were </w:t>
      </w:r>
      <w:r w:rsidR="00431632">
        <w:rPr>
          <w:noProof/>
        </w:rPr>
        <w:t xml:space="preserve">organised </w:t>
      </w:r>
      <w:r w:rsidR="00F125F4">
        <w:rPr>
          <w:noProof/>
        </w:rPr>
        <w:t>with</w:t>
      </w:r>
      <w:r w:rsidRPr="003565FD">
        <w:rPr>
          <w:noProof/>
        </w:rPr>
        <w:t xml:space="preserve"> a selected group of participants</w:t>
      </w:r>
      <w:r w:rsidR="009957E4">
        <w:rPr>
          <w:noProof/>
        </w:rPr>
        <w:t xml:space="preserve">, chosen from the respondents </w:t>
      </w:r>
      <w:r w:rsidR="00CF4B60">
        <w:rPr>
          <w:noProof/>
        </w:rPr>
        <w:t>replied to the public consultation.</w:t>
      </w:r>
      <w:r>
        <w:rPr>
          <w:noProof/>
        </w:rPr>
        <w:t xml:space="preserve"> </w:t>
      </w:r>
      <w:r w:rsidR="0085093E" w:rsidRPr="00F33701">
        <w:rPr>
          <w:noProof/>
        </w:rPr>
        <w:t>7</w:t>
      </w:r>
      <w:r w:rsidR="00577F54" w:rsidRPr="00F33701">
        <w:rPr>
          <w:noProof/>
        </w:rPr>
        <w:t xml:space="preserve"> companies in the workshop on </w:t>
      </w:r>
      <w:r w:rsidR="00577F54" w:rsidRPr="00104513">
        <w:rPr>
          <w:noProof/>
        </w:rPr>
        <w:t>setting up, running or closing down a company in the EU</w:t>
      </w:r>
      <w:r w:rsidR="00577F54">
        <w:rPr>
          <w:noProof/>
        </w:rPr>
        <w:t xml:space="preserve"> and </w:t>
      </w:r>
      <w:r w:rsidR="0085093E">
        <w:rPr>
          <w:noProof/>
        </w:rPr>
        <w:t>9</w:t>
      </w:r>
      <w:r w:rsidR="00577F54">
        <w:rPr>
          <w:noProof/>
        </w:rPr>
        <w:t xml:space="preserve"> companies and investors – in the investment related workshop. </w:t>
      </w:r>
      <w:r w:rsidR="00A83510">
        <w:rPr>
          <w:noProof/>
        </w:rPr>
        <w:t xml:space="preserve">In both, </w:t>
      </w:r>
      <w:r w:rsidR="00A83510" w:rsidRPr="002D477F">
        <w:rPr>
          <w:noProof/>
        </w:rPr>
        <w:t>the participa</w:t>
      </w:r>
      <w:r w:rsidR="00A83510">
        <w:rPr>
          <w:noProof/>
        </w:rPr>
        <w:t>nts</w:t>
      </w:r>
      <w:r w:rsidR="00A83510" w:rsidRPr="002D477F">
        <w:rPr>
          <w:noProof/>
        </w:rPr>
        <w:t xml:space="preserve"> provided valuable input confirming the existence of the problems relevant for this initiative</w:t>
      </w:r>
      <w:r w:rsidR="00A82DB8">
        <w:rPr>
          <w:noProof/>
        </w:rPr>
        <w:t xml:space="preserve"> </w:t>
      </w:r>
      <w:r w:rsidR="00B41AFE">
        <w:rPr>
          <w:noProof/>
        </w:rPr>
        <w:t xml:space="preserve">and provided concrete examples of </w:t>
      </w:r>
      <w:r w:rsidR="00F06CA2">
        <w:rPr>
          <w:noProof/>
        </w:rPr>
        <w:t>their experiences when setting up companies across the EU or attracting investment for their companies.</w:t>
      </w:r>
    </w:p>
    <w:p w14:paraId="139BAB46" w14:textId="500A844B" w:rsidR="00B95F67" w:rsidRDefault="007A5057" w:rsidP="00EE686F">
      <w:pPr>
        <w:spacing w:after="120"/>
        <w:rPr>
          <w:noProof/>
        </w:rPr>
      </w:pPr>
      <w:r w:rsidRPr="00417B42">
        <w:rPr>
          <w:b/>
          <w:noProof/>
        </w:rPr>
        <w:t>Numerous b</w:t>
      </w:r>
      <w:r w:rsidR="005A0E61" w:rsidRPr="00417B42">
        <w:rPr>
          <w:b/>
          <w:noProof/>
        </w:rPr>
        <w:t xml:space="preserve">ilateral meetings (targeted consultations) </w:t>
      </w:r>
      <w:r>
        <w:rPr>
          <w:noProof/>
        </w:rPr>
        <w:t>took place</w:t>
      </w:r>
      <w:r w:rsidR="005A0E61" w:rsidRPr="005A0E61">
        <w:rPr>
          <w:noProof/>
        </w:rPr>
        <w:t xml:space="preserve"> between DG JUST</w:t>
      </w:r>
      <w:r w:rsidR="00B6267F">
        <w:rPr>
          <w:rStyle w:val="FootnoteReference"/>
          <w:noProof/>
        </w:rPr>
        <w:footnoteReference w:id="4"/>
      </w:r>
      <w:r w:rsidR="00173CE2">
        <w:rPr>
          <w:noProof/>
        </w:rPr>
        <w:t>, but also at Cabinet/Commissioner level,</w:t>
      </w:r>
      <w:r w:rsidR="00CA5843">
        <w:rPr>
          <w:noProof/>
        </w:rPr>
        <w:t xml:space="preserve"> </w:t>
      </w:r>
      <w:r w:rsidR="005A0E61" w:rsidRPr="005A0E61">
        <w:rPr>
          <w:noProof/>
        </w:rPr>
        <w:t xml:space="preserve">and </w:t>
      </w:r>
      <w:r w:rsidR="005A0E61" w:rsidRPr="00417B42">
        <w:rPr>
          <w:b/>
          <w:noProof/>
        </w:rPr>
        <w:t>key stakeholders</w:t>
      </w:r>
      <w:r w:rsidR="005A0E61" w:rsidRPr="005A0E61">
        <w:rPr>
          <w:noProof/>
        </w:rPr>
        <w:t xml:space="preserve"> in the area of company law to discuss issues </w:t>
      </w:r>
      <w:r w:rsidR="00610E0A">
        <w:rPr>
          <w:noProof/>
        </w:rPr>
        <w:t xml:space="preserve">relevant to this initiative and of </w:t>
      </w:r>
      <w:r w:rsidR="005A0E61" w:rsidRPr="005A0E61">
        <w:rPr>
          <w:noProof/>
        </w:rPr>
        <w:t>most relevant for them</w:t>
      </w:r>
      <w:r w:rsidR="00B47B9A">
        <w:rPr>
          <w:noProof/>
        </w:rPr>
        <w:t xml:space="preserve">, both on the </w:t>
      </w:r>
      <w:r w:rsidR="00205527">
        <w:rPr>
          <w:noProof/>
        </w:rPr>
        <w:t>initiative</w:t>
      </w:r>
      <w:r w:rsidR="00B47B9A">
        <w:rPr>
          <w:noProof/>
        </w:rPr>
        <w:t xml:space="preserve"> of DG J</w:t>
      </w:r>
      <w:r w:rsidR="00205527">
        <w:rPr>
          <w:noProof/>
        </w:rPr>
        <w:t>UST</w:t>
      </w:r>
      <w:r w:rsidR="00B47B9A">
        <w:rPr>
          <w:noProof/>
        </w:rPr>
        <w:t xml:space="preserve"> and </w:t>
      </w:r>
      <w:r w:rsidR="00072DE9">
        <w:rPr>
          <w:noProof/>
        </w:rPr>
        <w:t xml:space="preserve">on the initiative of </w:t>
      </w:r>
      <w:r w:rsidR="00B47B9A">
        <w:rPr>
          <w:noProof/>
        </w:rPr>
        <w:t>stakeholders</w:t>
      </w:r>
      <w:r w:rsidR="00610E0A">
        <w:rPr>
          <w:noProof/>
        </w:rPr>
        <w:t xml:space="preserve">. </w:t>
      </w:r>
      <w:r w:rsidR="0033735F">
        <w:rPr>
          <w:noProof/>
        </w:rPr>
        <w:t>These included meetings with</w:t>
      </w:r>
      <w:r w:rsidR="005A0E61" w:rsidRPr="005A0E61">
        <w:rPr>
          <w:noProof/>
        </w:rPr>
        <w:t xml:space="preserve"> </w:t>
      </w:r>
      <w:r w:rsidR="00F478D4">
        <w:rPr>
          <w:noProof/>
        </w:rPr>
        <w:t xml:space="preserve">European level organisations, including </w:t>
      </w:r>
      <w:r w:rsidR="005A0E61" w:rsidRPr="005A0E61">
        <w:rPr>
          <w:noProof/>
        </w:rPr>
        <w:t>BusinessEurope</w:t>
      </w:r>
      <w:r w:rsidR="0033735F">
        <w:rPr>
          <w:noProof/>
        </w:rPr>
        <w:t>,</w:t>
      </w:r>
      <w:r w:rsidR="005A0E61" w:rsidRPr="005A0E61">
        <w:rPr>
          <w:noProof/>
        </w:rPr>
        <w:t xml:space="preserve"> </w:t>
      </w:r>
      <w:r w:rsidR="0033735F">
        <w:rPr>
          <w:noProof/>
        </w:rPr>
        <w:t>the</w:t>
      </w:r>
      <w:r w:rsidR="005A0E61" w:rsidRPr="005A0E61">
        <w:rPr>
          <w:noProof/>
        </w:rPr>
        <w:t xml:space="preserve"> Council of the Notariats of the E</w:t>
      </w:r>
      <w:r w:rsidR="00A62F22">
        <w:rPr>
          <w:noProof/>
        </w:rPr>
        <w:t xml:space="preserve">uropean </w:t>
      </w:r>
      <w:r w:rsidR="00FB3458">
        <w:rPr>
          <w:noProof/>
        </w:rPr>
        <w:t>U</w:t>
      </w:r>
      <w:r w:rsidR="00A62F22">
        <w:rPr>
          <w:noProof/>
        </w:rPr>
        <w:t>nion</w:t>
      </w:r>
      <w:r w:rsidR="0033735F">
        <w:rPr>
          <w:noProof/>
        </w:rPr>
        <w:t>,</w:t>
      </w:r>
      <w:r w:rsidR="00A62F22">
        <w:rPr>
          <w:noProof/>
        </w:rPr>
        <w:t xml:space="preserve"> </w:t>
      </w:r>
      <w:r w:rsidR="00B95F67">
        <w:rPr>
          <w:noProof/>
        </w:rPr>
        <w:t>the</w:t>
      </w:r>
      <w:r w:rsidR="00FB3458">
        <w:rPr>
          <w:noProof/>
        </w:rPr>
        <w:t xml:space="preserve"> </w:t>
      </w:r>
      <w:r w:rsidR="00B95F67" w:rsidRPr="00B95F67">
        <w:rPr>
          <w:noProof/>
        </w:rPr>
        <w:t>Council of Bars and Law Societies of Europe</w:t>
      </w:r>
      <w:r w:rsidR="00B95F67">
        <w:rPr>
          <w:noProof/>
        </w:rPr>
        <w:t>,</w:t>
      </w:r>
      <w:r w:rsidR="005A0E61" w:rsidRPr="005A0E61">
        <w:rPr>
          <w:noProof/>
        </w:rPr>
        <w:t xml:space="preserve"> </w:t>
      </w:r>
      <w:r w:rsidR="0033735F">
        <w:rPr>
          <w:noProof/>
        </w:rPr>
        <w:t>the</w:t>
      </w:r>
      <w:r w:rsidR="005A0E61" w:rsidRPr="005A0E61">
        <w:rPr>
          <w:noProof/>
        </w:rPr>
        <w:t xml:space="preserve"> European Trade Union Confederation</w:t>
      </w:r>
      <w:r w:rsidR="009E096F">
        <w:rPr>
          <w:noProof/>
        </w:rPr>
        <w:t xml:space="preserve">, national level organisations representing </w:t>
      </w:r>
      <w:r w:rsidR="009E096F" w:rsidRPr="008F4C1F">
        <w:rPr>
          <w:b/>
          <w:noProof/>
        </w:rPr>
        <w:t xml:space="preserve">companies, </w:t>
      </w:r>
      <w:r w:rsidR="008F4C1F" w:rsidRPr="008F4C1F">
        <w:rPr>
          <w:b/>
          <w:bCs/>
          <w:noProof/>
        </w:rPr>
        <w:t xml:space="preserve">legal professionals including </w:t>
      </w:r>
      <w:r w:rsidR="009E096F" w:rsidRPr="008F4C1F">
        <w:rPr>
          <w:b/>
          <w:bCs/>
          <w:noProof/>
        </w:rPr>
        <w:t>notaries</w:t>
      </w:r>
      <w:r w:rsidR="008F4C1F" w:rsidRPr="008F4C1F">
        <w:rPr>
          <w:b/>
          <w:bCs/>
          <w:noProof/>
        </w:rPr>
        <w:t>, trade unions</w:t>
      </w:r>
      <w:r w:rsidR="009E096F" w:rsidRPr="008F4C1F">
        <w:rPr>
          <w:b/>
          <w:noProof/>
        </w:rPr>
        <w:t xml:space="preserve"> and specific sectors</w:t>
      </w:r>
      <w:r w:rsidR="00EE686F">
        <w:rPr>
          <w:noProof/>
        </w:rPr>
        <w:t xml:space="preserve">. </w:t>
      </w:r>
    </w:p>
    <w:p w14:paraId="08671CFC" w14:textId="47804FBE" w:rsidR="003A7BCE" w:rsidRDefault="00EE686F" w:rsidP="00EE686F">
      <w:pPr>
        <w:spacing w:after="120"/>
        <w:rPr>
          <w:noProof/>
          <w:color w:val="000000" w:themeColor="text1"/>
        </w:rPr>
      </w:pPr>
      <w:r>
        <w:rPr>
          <w:noProof/>
        </w:rPr>
        <w:t xml:space="preserve">In particular, several meetings took place with the </w:t>
      </w:r>
      <w:r w:rsidRPr="00F24780">
        <w:rPr>
          <w:b/>
          <w:noProof/>
        </w:rPr>
        <w:t>representatives of the startup community</w:t>
      </w:r>
      <w:r>
        <w:rPr>
          <w:noProof/>
        </w:rPr>
        <w:t xml:space="preserve"> behind the </w:t>
      </w:r>
      <w:r w:rsidRPr="3072A290">
        <w:rPr>
          <w:noProof/>
          <w:color w:val="000000" w:themeColor="text1"/>
        </w:rPr>
        <w:t xml:space="preserve">October 2024 petition for a “standardised pan-European EU Inc” </w:t>
      </w:r>
      <w:r w:rsidRPr="00F045CB">
        <w:rPr>
          <w:noProof/>
          <w:color w:val="000000" w:themeColor="text1"/>
        </w:rPr>
        <w:t xml:space="preserve">and the </w:t>
      </w:r>
      <w:r w:rsidRPr="00F045CB">
        <w:rPr>
          <w:noProof/>
        </w:rPr>
        <w:t xml:space="preserve">EU Inc blueprint </w:t>
      </w:r>
      <w:r>
        <w:rPr>
          <w:noProof/>
          <w:color w:val="000000" w:themeColor="text1"/>
        </w:rPr>
        <w:t>setting out proposals as regards a standardised company</w:t>
      </w:r>
      <w:r w:rsidRPr="3072A290">
        <w:rPr>
          <w:noProof/>
          <w:color w:val="000000" w:themeColor="text1"/>
        </w:rPr>
        <w:t xml:space="preserve"> structure</w:t>
      </w:r>
      <w:r>
        <w:rPr>
          <w:noProof/>
          <w:color w:val="000000" w:themeColor="text1"/>
        </w:rPr>
        <w:t>,</w:t>
      </w:r>
      <w:r w:rsidRPr="3072A290">
        <w:rPr>
          <w:noProof/>
          <w:color w:val="000000" w:themeColor="text1"/>
        </w:rPr>
        <w:t xml:space="preserve"> </w:t>
      </w:r>
      <w:r>
        <w:rPr>
          <w:noProof/>
          <w:color w:val="000000" w:themeColor="text1"/>
        </w:rPr>
        <w:t>a digital-first approach, a modern instrument</w:t>
      </w:r>
      <w:r w:rsidRPr="3072A290">
        <w:rPr>
          <w:noProof/>
          <w:color w:val="000000" w:themeColor="text1"/>
        </w:rPr>
        <w:t xml:space="preserve"> for </w:t>
      </w:r>
      <w:r>
        <w:rPr>
          <w:noProof/>
          <w:color w:val="000000" w:themeColor="text1"/>
        </w:rPr>
        <w:t>investment</w:t>
      </w:r>
      <w:r w:rsidRPr="3072A290">
        <w:rPr>
          <w:noProof/>
          <w:color w:val="000000" w:themeColor="text1"/>
        </w:rPr>
        <w:t xml:space="preserve"> and </w:t>
      </w:r>
      <w:r>
        <w:rPr>
          <w:noProof/>
          <w:color w:val="000000" w:themeColor="text1"/>
        </w:rPr>
        <w:t>an option scheme for employee stocks</w:t>
      </w:r>
      <w:r w:rsidRPr="00F045CB">
        <w:rPr>
          <w:noProof/>
          <w:color w:val="000000" w:themeColor="text1"/>
        </w:rPr>
        <w:t xml:space="preserve">. </w:t>
      </w:r>
      <w:r w:rsidR="00412735">
        <w:rPr>
          <w:noProof/>
          <w:color w:val="000000" w:themeColor="text1"/>
        </w:rPr>
        <w:t>The proposals of EU Inc and challenges they were aware of in these different issues were discussed.</w:t>
      </w:r>
      <w:r w:rsidRPr="00F045CB">
        <w:rPr>
          <w:noProof/>
          <w:color w:val="000000" w:themeColor="text1"/>
        </w:rPr>
        <w:t xml:space="preserve"> </w:t>
      </w:r>
      <w:r w:rsidR="009A1EBA">
        <w:rPr>
          <w:noProof/>
          <w:color w:val="000000" w:themeColor="text1"/>
        </w:rPr>
        <w:t>A number of m</w:t>
      </w:r>
      <w:r w:rsidR="001D1D8D">
        <w:rPr>
          <w:noProof/>
          <w:color w:val="000000" w:themeColor="text1"/>
        </w:rPr>
        <w:t xml:space="preserve">eetings also took place with </w:t>
      </w:r>
      <w:r w:rsidR="0078665E" w:rsidRPr="008F4C1F">
        <w:rPr>
          <w:b/>
          <w:noProof/>
          <w:color w:val="000000" w:themeColor="text1"/>
        </w:rPr>
        <w:t>individual companies</w:t>
      </w:r>
      <w:r w:rsidR="00C46621">
        <w:rPr>
          <w:noProof/>
          <w:color w:val="000000" w:themeColor="text1"/>
        </w:rPr>
        <w:t xml:space="preserve"> to gather more information </w:t>
      </w:r>
      <w:r w:rsidR="00137A97">
        <w:rPr>
          <w:noProof/>
          <w:color w:val="000000" w:themeColor="text1"/>
        </w:rPr>
        <w:t xml:space="preserve">about challenges </w:t>
      </w:r>
      <w:r w:rsidR="002821F7">
        <w:rPr>
          <w:noProof/>
          <w:color w:val="000000" w:themeColor="text1"/>
        </w:rPr>
        <w:t xml:space="preserve">they </w:t>
      </w:r>
      <w:r w:rsidR="00137A97">
        <w:rPr>
          <w:noProof/>
          <w:color w:val="000000" w:themeColor="text1"/>
        </w:rPr>
        <w:t xml:space="preserve">experienced in case of </w:t>
      </w:r>
      <w:r w:rsidR="000C41B7">
        <w:rPr>
          <w:noProof/>
          <w:color w:val="000000" w:themeColor="text1"/>
        </w:rPr>
        <w:t xml:space="preserve">attracting investment and issuing employee stock options in particular. </w:t>
      </w:r>
      <w:r w:rsidR="0078665E">
        <w:rPr>
          <w:noProof/>
          <w:color w:val="000000" w:themeColor="text1"/>
        </w:rPr>
        <w:t xml:space="preserve"> </w:t>
      </w:r>
    </w:p>
    <w:p w14:paraId="465C62D9" w14:textId="557BD11E" w:rsidR="00EE686F" w:rsidRDefault="00143434" w:rsidP="00EE686F">
      <w:pPr>
        <w:spacing w:after="120"/>
        <w:rPr>
          <w:noProof/>
        </w:rPr>
      </w:pPr>
      <w:r>
        <w:rPr>
          <w:noProof/>
          <w:color w:val="000000" w:themeColor="text1"/>
        </w:rPr>
        <w:t xml:space="preserve">Numerous bilateral meetings also took place with </w:t>
      </w:r>
      <w:r w:rsidRPr="003A7BCE">
        <w:rPr>
          <w:b/>
          <w:noProof/>
          <w:color w:val="000000" w:themeColor="text1"/>
        </w:rPr>
        <w:t xml:space="preserve">representatives of national </w:t>
      </w:r>
      <w:r w:rsidR="00CE4F45" w:rsidRPr="003A7BCE">
        <w:rPr>
          <w:b/>
          <w:noProof/>
          <w:color w:val="000000" w:themeColor="text1"/>
        </w:rPr>
        <w:t>authorities</w:t>
      </w:r>
      <w:r w:rsidR="00CE4F45">
        <w:rPr>
          <w:noProof/>
          <w:color w:val="000000" w:themeColor="text1"/>
        </w:rPr>
        <w:t xml:space="preserve">, mainly Ministries in charge of company law issues. </w:t>
      </w:r>
      <w:r w:rsidR="003A7BCE">
        <w:rPr>
          <w:noProof/>
        </w:rPr>
        <w:t>The Danish Presidency also organised an exchange of views on the 28</w:t>
      </w:r>
      <w:r w:rsidR="003A7BCE" w:rsidRPr="00D55E11">
        <w:rPr>
          <w:noProof/>
          <w:vertAlign w:val="superscript"/>
        </w:rPr>
        <w:t>th</w:t>
      </w:r>
      <w:r w:rsidR="003A7BCE">
        <w:rPr>
          <w:noProof/>
        </w:rPr>
        <w:t xml:space="preserve"> regime during the September 2025 meeting of the </w:t>
      </w:r>
      <w:r w:rsidR="003A7BCE" w:rsidRPr="003A7BCE">
        <w:rPr>
          <w:b/>
          <w:bCs/>
          <w:noProof/>
        </w:rPr>
        <w:t>Council Working Party on company law</w:t>
      </w:r>
      <w:r w:rsidR="003A7BCE">
        <w:rPr>
          <w:noProof/>
        </w:rPr>
        <w:t>.</w:t>
      </w:r>
    </w:p>
    <w:p w14:paraId="3E9D7B7C" w14:textId="5F238DDC" w:rsidR="000529FF" w:rsidRDefault="000529FF" w:rsidP="000529FF">
      <w:pPr>
        <w:spacing w:after="120"/>
        <w:rPr>
          <w:noProof/>
        </w:rPr>
      </w:pPr>
      <w:r>
        <w:rPr>
          <w:noProof/>
        </w:rPr>
        <w:t>All these meetings brough</w:t>
      </w:r>
      <w:r w:rsidR="000F2700">
        <w:rPr>
          <w:noProof/>
        </w:rPr>
        <w:t>t</w:t>
      </w:r>
      <w:r>
        <w:rPr>
          <w:noProof/>
        </w:rPr>
        <w:t xml:space="preserve"> </w:t>
      </w:r>
      <w:r w:rsidRPr="005A0E61">
        <w:rPr>
          <w:noProof/>
        </w:rPr>
        <w:t>valuable insight</w:t>
      </w:r>
      <w:r>
        <w:rPr>
          <w:noProof/>
        </w:rPr>
        <w:t>s</w:t>
      </w:r>
      <w:r w:rsidRPr="005A0E61">
        <w:rPr>
          <w:noProof/>
        </w:rPr>
        <w:t xml:space="preserve"> into </w:t>
      </w:r>
      <w:r w:rsidR="00EB468C">
        <w:rPr>
          <w:noProof/>
        </w:rPr>
        <w:t xml:space="preserve">the </w:t>
      </w:r>
      <w:r w:rsidR="00315315">
        <w:rPr>
          <w:noProof/>
        </w:rPr>
        <w:t xml:space="preserve">problems currently faced by companies and other stakeholders, and </w:t>
      </w:r>
      <w:r w:rsidR="00FA5DA4">
        <w:rPr>
          <w:noProof/>
        </w:rPr>
        <w:t>about issues of importance in the context of company law procedures to different groups of stakeholders</w:t>
      </w:r>
      <w:r w:rsidRPr="005A0E61">
        <w:rPr>
          <w:noProof/>
        </w:rPr>
        <w:t xml:space="preserve">. The </w:t>
      </w:r>
      <w:r w:rsidR="001F368B">
        <w:rPr>
          <w:noProof/>
        </w:rPr>
        <w:t xml:space="preserve">companies and investors </w:t>
      </w:r>
      <w:r w:rsidRPr="005A0E61">
        <w:rPr>
          <w:noProof/>
        </w:rPr>
        <w:t xml:space="preserve">provided concrete examples on administrative burdens, costs and time needed for </w:t>
      </w:r>
      <w:r w:rsidR="004D4F4B">
        <w:rPr>
          <w:noProof/>
        </w:rPr>
        <w:t xml:space="preserve">different company law </w:t>
      </w:r>
      <w:r w:rsidRPr="005A0E61">
        <w:rPr>
          <w:noProof/>
        </w:rPr>
        <w:t>procedures</w:t>
      </w:r>
      <w:r w:rsidR="004D4F4B">
        <w:rPr>
          <w:noProof/>
        </w:rPr>
        <w:t xml:space="preserve"> in their experience and </w:t>
      </w:r>
      <w:r w:rsidRPr="005A0E61">
        <w:rPr>
          <w:noProof/>
        </w:rPr>
        <w:t xml:space="preserve">provided their views on what improvements would facilitate </w:t>
      </w:r>
      <w:r w:rsidR="00825B01">
        <w:rPr>
          <w:noProof/>
        </w:rPr>
        <w:t>setting up and operating companies and attracting investment to companies in the EU</w:t>
      </w:r>
      <w:r w:rsidRPr="005A0E61">
        <w:rPr>
          <w:noProof/>
        </w:rPr>
        <w:t xml:space="preserve">.  </w:t>
      </w:r>
    </w:p>
    <w:p w14:paraId="7DF48E50" w14:textId="768566FE" w:rsidR="00825B01" w:rsidRDefault="003A7BCE" w:rsidP="00267445">
      <w:pPr>
        <w:spacing w:after="120"/>
        <w:rPr>
          <w:noProof/>
        </w:rPr>
      </w:pPr>
      <w:r>
        <w:rPr>
          <w:noProof/>
        </w:rPr>
        <w:t>D</w:t>
      </w:r>
      <w:r w:rsidRPr="00A37CF9">
        <w:rPr>
          <w:noProof/>
        </w:rPr>
        <w:t>iscussions with industry, Member States</w:t>
      </w:r>
      <w:r w:rsidR="003945DB">
        <w:rPr>
          <w:noProof/>
        </w:rPr>
        <w:t xml:space="preserve">, the </w:t>
      </w:r>
      <w:r w:rsidR="003945DB" w:rsidRPr="005A3788">
        <w:rPr>
          <w:noProof/>
        </w:rPr>
        <w:t>European Parliament</w:t>
      </w:r>
      <w:r w:rsidRPr="00A37CF9">
        <w:rPr>
          <w:noProof/>
        </w:rPr>
        <w:t xml:space="preserve"> and the relevant EU level stakeholder associations</w:t>
      </w:r>
      <w:r>
        <w:rPr>
          <w:noProof/>
        </w:rPr>
        <w:t xml:space="preserve">, </w:t>
      </w:r>
      <w:r w:rsidR="004B1C48">
        <w:rPr>
          <w:noProof/>
        </w:rPr>
        <w:t xml:space="preserve">i.e. </w:t>
      </w:r>
      <w:r w:rsidR="004B1C48" w:rsidRPr="005A3788">
        <w:rPr>
          <w:noProof/>
        </w:rPr>
        <w:t xml:space="preserve">Association for Financial Markets Europe, Better Finance, BusinessEurope, Council of Bars and Law Societies of Europe, Council of the Notariats of the European Union, Ecommerce Europe, EuroCommerce, European Business Registry Association, European Consumer Organisation, European Digital SME Alliance, </w:t>
      </w:r>
      <w:r w:rsidR="004B1C48" w:rsidRPr="007073AD">
        <w:rPr>
          <w:noProof/>
        </w:rPr>
        <w:t>EuropeanIssuers</w:t>
      </w:r>
      <w:r w:rsidR="004B1C48" w:rsidRPr="005A3788">
        <w:rPr>
          <w:noProof/>
        </w:rPr>
        <w:t>, European Judicial Network in civil and commercial matters, European Networks of Councils of the Judiciary, European Startup Network, European Tech Alliance, European Trade Union Confederation, Invest Europe</w:t>
      </w:r>
      <w:r w:rsidR="004B1C48">
        <w:rPr>
          <w:noProof/>
        </w:rPr>
        <w:t xml:space="preserve"> and</w:t>
      </w:r>
      <w:r w:rsidR="004B1C48" w:rsidRPr="005A3788">
        <w:rPr>
          <w:noProof/>
        </w:rPr>
        <w:t xml:space="preserve"> SME</w:t>
      </w:r>
      <w:r w:rsidR="004B1C48">
        <w:rPr>
          <w:noProof/>
        </w:rPr>
        <w:t>U</w:t>
      </w:r>
      <w:r w:rsidR="004B1C48" w:rsidRPr="005A3788">
        <w:rPr>
          <w:noProof/>
        </w:rPr>
        <w:t>nited</w:t>
      </w:r>
      <w:r w:rsidR="004B1C48">
        <w:rPr>
          <w:noProof/>
        </w:rPr>
        <w:t xml:space="preserve">, </w:t>
      </w:r>
      <w:r w:rsidRPr="00A37CF9">
        <w:rPr>
          <w:noProof/>
        </w:rPr>
        <w:t>also t</w:t>
      </w:r>
      <w:r>
        <w:rPr>
          <w:noProof/>
        </w:rPr>
        <w:t>ook</w:t>
      </w:r>
      <w:r w:rsidRPr="00A37CF9">
        <w:rPr>
          <w:noProof/>
        </w:rPr>
        <w:t xml:space="preserve"> place </w:t>
      </w:r>
      <w:r>
        <w:rPr>
          <w:noProof/>
        </w:rPr>
        <w:t xml:space="preserve">during 2025 </w:t>
      </w:r>
      <w:r w:rsidRPr="00A37CF9">
        <w:rPr>
          <w:noProof/>
        </w:rPr>
        <w:t xml:space="preserve">in the framework of the </w:t>
      </w:r>
      <w:r w:rsidRPr="003A7BCE">
        <w:rPr>
          <w:b/>
          <w:bCs/>
          <w:noProof/>
        </w:rPr>
        <w:t>High-</w:t>
      </w:r>
      <w:r w:rsidR="00026F69">
        <w:rPr>
          <w:b/>
          <w:bCs/>
          <w:noProof/>
        </w:rPr>
        <w:t>L</w:t>
      </w:r>
      <w:r w:rsidRPr="003A7BCE">
        <w:rPr>
          <w:b/>
          <w:bCs/>
          <w:noProof/>
        </w:rPr>
        <w:t>evel Forum on Justice for Growth</w:t>
      </w:r>
      <w:r>
        <w:rPr>
          <w:noProof/>
        </w:rPr>
        <w:t xml:space="preserve"> </w:t>
      </w:r>
      <w:r w:rsidR="002F58F3">
        <w:rPr>
          <w:noProof/>
        </w:rPr>
        <w:t xml:space="preserve">(HLF) </w:t>
      </w:r>
      <w:r>
        <w:rPr>
          <w:noProof/>
        </w:rPr>
        <w:t>launched by Commissioner McGrath</w:t>
      </w:r>
      <w:r>
        <w:rPr>
          <w:rStyle w:val="FootnoteReference"/>
          <w:noProof/>
        </w:rPr>
        <w:footnoteReference w:id="5"/>
      </w:r>
      <w:r w:rsidRPr="00A37CF9">
        <w:rPr>
          <w:noProof/>
        </w:rPr>
        <w:t>.</w:t>
      </w:r>
      <w:r>
        <w:rPr>
          <w:noProof/>
        </w:rPr>
        <w:t xml:space="preserve"> The 28</w:t>
      </w:r>
      <w:r w:rsidRPr="00472BB6">
        <w:rPr>
          <w:noProof/>
          <w:vertAlign w:val="superscript"/>
        </w:rPr>
        <w:t>th</w:t>
      </w:r>
      <w:r>
        <w:rPr>
          <w:noProof/>
        </w:rPr>
        <w:t xml:space="preserve"> regime corporate legal framework was discussed at all four meetings</w:t>
      </w:r>
      <w:r w:rsidR="00DB7726">
        <w:rPr>
          <w:noProof/>
        </w:rPr>
        <w:t xml:space="preserve"> (in March, June, </w:t>
      </w:r>
      <w:r w:rsidR="00D32350">
        <w:rPr>
          <w:noProof/>
        </w:rPr>
        <w:t>October</w:t>
      </w:r>
      <w:r w:rsidR="00DB7726">
        <w:rPr>
          <w:noProof/>
        </w:rPr>
        <w:t xml:space="preserve"> and November)</w:t>
      </w:r>
      <w:r>
        <w:rPr>
          <w:noProof/>
        </w:rPr>
        <w:t xml:space="preserve">, including with particular focus on </w:t>
      </w:r>
      <w:r w:rsidRPr="00472BB6">
        <w:rPr>
          <w:noProof/>
        </w:rPr>
        <w:t>the problems faced by companies,</w:t>
      </w:r>
      <w:r>
        <w:rPr>
          <w:noProof/>
        </w:rPr>
        <w:t xml:space="preserve"> </w:t>
      </w:r>
      <w:r w:rsidRPr="00472BB6">
        <w:rPr>
          <w:noProof/>
        </w:rPr>
        <w:t>digital solutions</w:t>
      </w:r>
      <w:r>
        <w:rPr>
          <w:noProof/>
        </w:rPr>
        <w:t>,</w:t>
      </w:r>
      <w:r w:rsidRPr="00472BB6">
        <w:rPr>
          <w:noProof/>
        </w:rPr>
        <w:t xml:space="preserve"> the legal approach and measures needed to attract investment</w:t>
      </w:r>
      <w:r w:rsidR="00315315">
        <w:rPr>
          <w:noProof/>
        </w:rPr>
        <w:t xml:space="preserve">. </w:t>
      </w:r>
    </w:p>
    <w:p w14:paraId="3867B928" w14:textId="32C2F08F" w:rsidR="002E1CBA" w:rsidRDefault="004F38A2" w:rsidP="002E1CBA">
      <w:pPr>
        <w:spacing w:after="120"/>
        <w:rPr>
          <w:noProof/>
        </w:rPr>
      </w:pPr>
      <w:r>
        <w:rPr>
          <w:noProof/>
        </w:rPr>
        <w:t xml:space="preserve">The </w:t>
      </w:r>
      <w:r w:rsidR="002E1CBA">
        <w:rPr>
          <w:noProof/>
        </w:rPr>
        <w:t>May and</w:t>
      </w:r>
      <w:r w:rsidR="002E1CBA" w:rsidDel="000926F2">
        <w:rPr>
          <w:noProof/>
        </w:rPr>
        <w:t xml:space="preserve"> </w:t>
      </w:r>
      <w:r w:rsidR="000926F2">
        <w:rPr>
          <w:noProof/>
        </w:rPr>
        <w:t>the</w:t>
      </w:r>
      <w:r w:rsidR="002E1CBA">
        <w:rPr>
          <w:noProof/>
        </w:rPr>
        <w:t xml:space="preserve"> September </w:t>
      </w:r>
      <w:r>
        <w:rPr>
          <w:noProof/>
        </w:rPr>
        <w:t xml:space="preserve">High-Level Forum meetings were also </w:t>
      </w:r>
      <w:r w:rsidR="002E1CBA">
        <w:rPr>
          <w:noProof/>
        </w:rPr>
        <w:t>prepare</w:t>
      </w:r>
      <w:r w:rsidR="00345CCC">
        <w:rPr>
          <w:noProof/>
        </w:rPr>
        <w:t>d</w:t>
      </w:r>
      <w:r w:rsidR="00345CCC" w:rsidRPr="00345CCC">
        <w:rPr>
          <w:noProof/>
        </w:rPr>
        <w:t xml:space="preserve"> by </w:t>
      </w:r>
      <w:r w:rsidR="00345CCC">
        <w:rPr>
          <w:b/>
          <w:bCs/>
          <w:noProof/>
        </w:rPr>
        <w:t>t</w:t>
      </w:r>
      <w:r w:rsidR="00345CCC" w:rsidRPr="002F58F3">
        <w:rPr>
          <w:b/>
          <w:bCs/>
          <w:noProof/>
        </w:rPr>
        <w:t>wo online meetings</w:t>
      </w:r>
      <w:r w:rsidR="002E1CBA">
        <w:rPr>
          <w:noProof/>
        </w:rPr>
        <w:t xml:space="preserve">, bringing together </w:t>
      </w:r>
      <w:r w:rsidR="002E1CBA" w:rsidRPr="0056324A">
        <w:rPr>
          <w:noProof/>
        </w:rPr>
        <w:t xml:space="preserve">Member State representatives from </w:t>
      </w:r>
      <w:r w:rsidR="00AB4168">
        <w:rPr>
          <w:noProof/>
        </w:rPr>
        <w:t>m</w:t>
      </w:r>
      <w:r w:rsidR="00AB4168" w:rsidRPr="0056324A">
        <w:rPr>
          <w:noProof/>
        </w:rPr>
        <w:t xml:space="preserve">inistries </w:t>
      </w:r>
      <w:r w:rsidR="002E1CBA" w:rsidRPr="0056324A">
        <w:rPr>
          <w:noProof/>
        </w:rPr>
        <w:t>responsible for company law issues</w:t>
      </w:r>
      <w:r w:rsidR="002E1CBA">
        <w:rPr>
          <w:noProof/>
        </w:rPr>
        <w:t xml:space="preserve">, representatives of the European Parliament and the </w:t>
      </w:r>
      <w:r w:rsidR="002E1CBA" w:rsidRPr="00A37CF9">
        <w:rPr>
          <w:noProof/>
        </w:rPr>
        <w:t>EU level stakeholder associations</w:t>
      </w:r>
      <w:r w:rsidR="002E1CBA">
        <w:rPr>
          <w:noProof/>
        </w:rPr>
        <w:t xml:space="preserve"> participating in the HLF </w:t>
      </w:r>
      <w:r w:rsidR="002E1CBA" w:rsidRPr="00816491">
        <w:rPr>
          <w:b/>
          <w:bCs/>
          <w:noProof/>
        </w:rPr>
        <w:t>at the technical expert level</w:t>
      </w:r>
      <w:r w:rsidR="002E1CBA">
        <w:rPr>
          <w:noProof/>
        </w:rPr>
        <w:t xml:space="preserve">. The discussion papers on (i) the </w:t>
      </w:r>
      <w:r w:rsidR="002E1CBA" w:rsidRPr="00AE35A6">
        <w:rPr>
          <w:noProof/>
        </w:rPr>
        <w:t>scope of the EU corporate legal framework under the 28</w:t>
      </w:r>
      <w:r w:rsidR="002E1CBA" w:rsidRPr="00AE35A6">
        <w:rPr>
          <w:noProof/>
          <w:vertAlign w:val="superscript"/>
        </w:rPr>
        <w:t>th</w:t>
      </w:r>
      <w:r w:rsidR="002E1CBA" w:rsidRPr="00AE35A6">
        <w:rPr>
          <w:noProof/>
        </w:rPr>
        <w:t> regime, the use of digital measures to provide for simpler, faster procedures for the 28</w:t>
      </w:r>
      <w:r w:rsidR="002E1CBA" w:rsidRPr="00622777">
        <w:rPr>
          <w:noProof/>
          <w:vertAlign w:val="superscript"/>
        </w:rPr>
        <w:t>th</w:t>
      </w:r>
      <w:r w:rsidR="002E1CBA" w:rsidRPr="00AE35A6">
        <w:rPr>
          <w:noProof/>
        </w:rPr>
        <w:t xml:space="preserve"> regime companies and the possible legislative approaches</w:t>
      </w:r>
      <w:r w:rsidR="002E1CBA">
        <w:rPr>
          <w:noProof/>
        </w:rPr>
        <w:t xml:space="preserve"> and (ii) the </w:t>
      </w:r>
      <w:r w:rsidR="002E1CBA" w:rsidRPr="003265E7">
        <w:rPr>
          <w:noProof/>
        </w:rPr>
        <w:t xml:space="preserve">relevant </w:t>
      </w:r>
      <w:r w:rsidR="002E1CBA">
        <w:rPr>
          <w:noProof/>
        </w:rPr>
        <w:t xml:space="preserve">issues </w:t>
      </w:r>
      <w:r w:rsidR="002E1CBA" w:rsidRPr="003265E7">
        <w:rPr>
          <w:noProof/>
        </w:rPr>
        <w:t>for designing an investor friendly EU corporate framework that would facilitate access to finance for 28</w:t>
      </w:r>
      <w:r w:rsidR="002E1CBA" w:rsidRPr="00622777">
        <w:rPr>
          <w:noProof/>
          <w:vertAlign w:val="superscript"/>
        </w:rPr>
        <w:t>th</w:t>
      </w:r>
      <w:r w:rsidR="002E1CBA" w:rsidRPr="003265E7">
        <w:rPr>
          <w:noProof/>
        </w:rPr>
        <w:t xml:space="preserve"> regime companies</w:t>
      </w:r>
      <w:r w:rsidR="002E1CBA">
        <w:rPr>
          <w:noProof/>
        </w:rPr>
        <w:t>,</w:t>
      </w:r>
      <w:r w:rsidR="002E1CBA" w:rsidRPr="003265E7">
        <w:rPr>
          <w:noProof/>
        </w:rPr>
        <w:t xml:space="preserve"> </w:t>
      </w:r>
      <w:r w:rsidR="002E1CBA">
        <w:rPr>
          <w:noProof/>
        </w:rPr>
        <w:t xml:space="preserve">with summary of the views expressed during these technical meetings, were then submitted as the basis of discussions </w:t>
      </w:r>
      <w:r w:rsidR="0031790E">
        <w:rPr>
          <w:noProof/>
        </w:rPr>
        <w:t>for</w:t>
      </w:r>
      <w:r w:rsidR="002E1CBA">
        <w:rPr>
          <w:noProof/>
        </w:rPr>
        <w:t xml:space="preserve"> the June and October HLF meetings. </w:t>
      </w:r>
    </w:p>
    <w:p w14:paraId="4ABE85D0" w14:textId="77777777" w:rsidR="00BA0C1C" w:rsidRDefault="00267445" w:rsidP="003A7BCE">
      <w:pPr>
        <w:spacing w:after="120"/>
        <w:rPr>
          <w:noProof/>
        </w:rPr>
      </w:pPr>
      <w:r>
        <w:rPr>
          <w:noProof/>
        </w:rPr>
        <w:t xml:space="preserve">During the </w:t>
      </w:r>
      <w:r w:rsidR="00345CCC">
        <w:rPr>
          <w:noProof/>
        </w:rPr>
        <w:t>High-Level Forum</w:t>
      </w:r>
      <w:r>
        <w:rPr>
          <w:noProof/>
        </w:rPr>
        <w:t xml:space="preserve"> discussions, t</w:t>
      </w:r>
      <w:r w:rsidR="0031475A" w:rsidRPr="0031475A">
        <w:rPr>
          <w:noProof/>
        </w:rPr>
        <w:t>here was overall agreement among participants in the High-Level Forum that there is a need to improve the business environment for companies, and overall support for the 28</w:t>
      </w:r>
      <w:r w:rsidR="0031475A" w:rsidRPr="00622777">
        <w:rPr>
          <w:noProof/>
          <w:vertAlign w:val="superscript"/>
        </w:rPr>
        <w:t>th</w:t>
      </w:r>
      <w:r w:rsidR="0031475A" w:rsidRPr="0031475A">
        <w:rPr>
          <w:noProof/>
        </w:rPr>
        <w:t xml:space="preserve"> regime. However, trade unions strongly stressed the importance of protecting workers’ rights, in particular as regards employee participation, and called for first amending the European Company (SE) Regulation. Many participants stressed the importance of the voluntary/optional character of the 28</w:t>
      </w:r>
      <w:r w:rsidR="0031475A" w:rsidRPr="006526E8">
        <w:rPr>
          <w:noProof/>
          <w:vertAlign w:val="superscript"/>
        </w:rPr>
        <w:t>th</w:t>
      </w:r>
      <w:r w:rsidR="0031475A" w:rsidRPr="0031475A">
        <w:rPr>
          <w:noProof/>
        </w:rPr>
        <w:t xml:space="preserve"> regime for companies. Several participants, in particular representing Member States, as well as some business associations, were sceptical about addressing issues beyond corporate law, such as tax, labour or insolvency, under the 28</w:t>
      </w:r>
      <w:r w:rsidR="0031475A" w:rsidRPr="00622777">
        <w:rPr>
          <w:noProof/>
          <w:vertAlign w:val="superscript"/>
        </w:rPr>
        <w:t>th</w:t>
      </w:r>
      <w:r w:rsidR="0031475A" w:rsidRPr="0031475A">
        <w:rPr>
          <w:noProof/>
        </w:rPr>
        <w:t xml:space="preserve"> regime and preferred to focus on corporate law. Several underlined that while the fragmentation of the company law was indeed a problem, many difficulties were outside the company law area. Some considered other issues, such as efficiency of judicial proceedings or language barriers, as more important hurdles for companies. The importance of not allowing 28</w:t>
      </w:r>
      <w:r w:rsidR="0031475A" w:rsidRPr="006526E8">
        <w:rPr>
          <w:noProof/>
          <w:vertAlign w:val="superscript"/>
        </w:rPr>
        <w:t>th</w:t>
      </w:r>
      <w:r w:rsidR="0031475A" w:rsidRPr="0031475A">
        <w:rPr>
          <w:noProof/>
        </w:rPr>
        <w:t xml:space="preserve"> regime companies to circumvent rules on employee participation in boards of companies was also raised. </w:t>
      </w:r>
      <w:r w:rsidR="0007677E">
        <w:rPr>
          <w:noProof/>
        </w:rPr>
        <w:t>With regard to the</w:t>
      </w:r>
      <w:r w:rsidR="0031475A" w:rsidRPr="0031475A">
        <w:rPr>
          <w:noProof/>
        </w:rPr>
        <w:t xml:space="preserve"> main problems faced by companies, many participants stressed legal fragmentation, difficulty to access finance and administrative burdens overall. Member States underlined the need for a robust Impact Assessment to describe what problems companies face and what solutions might be most appropriate. </w:t>
      </w:r>
    </w:p>
    <w:p w14:paraId="11040A21" w14:textId="77777777" w:rsidR="00BA0C1C" w:rsidRPr="007073AD" w:rsidRDefault="00BA0C1C" w:rsidP="00BA0C1C">
      <w:pPr>
        <w:spacing w:after="120"/>
        <w:rPr>
          <w:noProof/>
        </w:rPr>
      </w:pPr>
      <w:r>
        <w:rPr>
          <w:noProof/>
        </w:rPr>
        <w:t>On digitalisation, many participants of the HLF on Justice for Growth stressed the very good progress already made in recent years in EU company law and the importance of taking the 2019 and 2025 company law digitalisation directives into account, especially that the latter has not been transposed yet, and of using BRIS and EUID. Overall, participants were in favour of (optional) templates, multilingual or bilingual rather than in English only. A few Member States and notaries emphasised the importance of the preventive checks in the company formation procedures, including the involvement of notaries.</w:t>
      </w:r>
    </w:p>
    <w:p w14:paraId="49F00C00" w14:textId="7DE2B841" w:rsidR="00221A66" w:rsidRDefault="007D1850" w:rsidP="00221A66">
      <w:pPr>
        <w:spacing w:after="120"/>
        <w:rPr>
          <w:noProof/>
        </w:rPr>
      </w:pPr>
      <w:r>
        <w:rPr>
          <w:noProof/>
        </w:rPr>
        <w:t>As regards the applicable capital regime, a majority of Member States were in favour of abolishing or reducing the minimum capital requirement to a symbolic amount to enhance entrepreneurship and competitiveness, and most stressed the need for alternative creditor safeguards. A few Member States stated that the minimum capital should not be entirely abolished, and two Member States regarded it as an important element that should not be merely symbolic. Business associations overall considered minimum capital as an obstacle and supported a zero/symbolic or low amount while trade unions cautioned against circumvention of workers’ rights and proliferation of empty shell companies.</w:t>
      </w:r>
    </w:p>
    <w:p w14:paraId="2F0D5B70" w14:textId="2361FC61" w:rsidR="001123FF" w:rsidRDefault="00221A66" w:rsidP="00221A66">
      <w:pPr>
        <w:spacing w:after="120"/>
        <w:rPr>
          <w:rFonts w:eastAsia="Times New Roman"/>
          <w:noProof/>
          <w:lang w:eastAsia="ja-JP"/>
        </w:rPr>
      </w:pPr>
      <w:r>
        <w:rPr>
          <w:noProof/>
        </w:rPr>
        <w:t>Overall, business associations stressed the need to address access to finance including venture capital and the important role of the 28</w:t>
      </w:r>
      <w:r>
        <w:rPr>
          <w:noProof/>
          <w:vertAlign w:val="superscript"/>
        </w:rPr>
        <w:t>th</w:t>
      </w:r>
      <w:r>
        <w:rPr>
          <w:noProof/>
        </w:rPr>
        <w:t xml:space="preserve"> regime in addressing the current fragmentated environment for investments. Most Member States were open to discuss not applying the par value principle, allowing companies to freely determine the value of shares, with some noting that should par value be removed, safeguards for creditors would be needed. At the same time, some others argued that the abolition of the par value principle was not necessary. </w:t>
      </w:r>
      <w:r>
        <w:rPr>
          <w:rFonts w:eastAsia="Times New Roman"/>
          <w:noProof/>
          <w:lang w:eastAsia="ja-JP"/>
        </w:rPr>
        <w:t xml:space="preserve">As regards innovative financing instruments, </w:t>
      </w:r>
      <w:r>
        <w:rPr>
          <w:noProof/>
        </w:rPr>
        <w:t>several Member States expressed interest in their potential to facilitate early-stage financing, while one Member State considered that their use should be regulated at national level. Some also questioned whether legislative action was needed given that companies already used such instruments at national level. The views were mixed among business associations with a couple of them strongly supportive or open, and one preferring to leave the issue aside for the sake of simplicity.</w:t>
      </w:r>
    </w:p>
    <w:p w14:paraId="6A06E60A" w14:textId="35400607" w:rsidR="00221A66" w:rsidRPr="007073AD" w:rsidRDefault="00154DCC" w:rsidP="00221A66">
      <w:pPr>
        <w:spacing w:after="120"/>
        <w:rPr>
          <w:rStyle w:val="normaltextrun"/>
          <w:noProof/>
        </w:rPr>
      </w:pPr>
      <w:r>
        <w:rPr>
          <w:noProof/>
        </w:rPr>
        <w:t>On the capital structure, a broad majority of Member States expressed preference for a share-based model. Member States and other participants supported a flexible approach allowing for free transferability of shares as a default rule, with restrictions depending on the company’s choice in the Articles of Association. A couple of Member States highlighted the importance of legal certainty for share transfers and the role of notaries and/or business registers and one – of including provisions to protect shareholders in the law.</w:t>
      </w:r>
    </w:p>
    <w:p w14:paraId="3DF04095" w14:textId="0C398592" w:rsidR="003A7BCE" w:rsidRDefault="00154DCC" w:rsidP="003A7BCE">
      <w:pPr>
        <w:spacing w:after="120"/>
        <w:rPr>
          <w:noProof/>
        </w:rPr>
      </w:pPr>
      <w:r>
        <w:rPr>
          <w:noProof/>
        </w:rPr>
        <w:t>On access to financial markets, while Member States and other participants underlined the need to allow companies to grow within the 28</w:t>
      </w:r>
      <w:r>
        <w:rPr>
          <w:noProof/>
          <w:vertAlign w:val="superscript"/>
        </w:rPr>
        <w:t>th</w:t>
      </w:r>
      <w:r>
        <w:rPr>
          <w:noProof/>
        </w:rPr>
        <w:t xml:space="preserve"> regime legal framework, views were mixed on allowing access to public markets without changing the company legal form. Many Member States expressed doubts about granting access to regulated markets with some, however, advocating for access to SME/SMC growth markets. Some other Member States and business stakeholders stressed that access to regulated markets would make the 28</w:t>
      </w:r>
      <w:r>
        <w:rPr>
          <w:noProof/>
          <w:vertAlign w:val="superscript"/>
        </w:rPr>
        <w:t>th</w:t>
      </w:r>
      <w:r>
        <w:rPr>
          <w:noProof/>
        </w:rPr>
        <w:t xml:space="preserve"> regime more attractive for companies and investors, thereby also supporting the objectives of the Savings and Investments Union by taking the capital markets perspective into account. A substantial number of participants did not have a definitive position on this issue</w:t>
      </w:r>
      <w:r w:rsidR="00D32350">
        <w:rPr>
          <w:rStyle w:val="FootnoteReference"/>
          <w:noProof/>
        </w:rPr>
        <w:footnoteReference w:id="6"/>
      </w:r>
      <w:r w:rsidR="003A7BCE" w:rsidRPr="00472BB6">
        <w:rPr>
          <w:noProof/>
        </w:rPr>
        <w:t>.</w:t>
      </w:r>
      <w:r w:rsidR="003A7BCE">
        <w:rPr>
          <w:noProof/>
        </w:rPr>
        <w:t xml:space="preserve"> </w:t>
      </w:r>
    </w:p>
    <w:p w14:paraId="0EDA89B8" w14:textId="6CABBBB3" w:rsidR="00611813" w:rsidRPr="002A7727" w:rsidRDefault="006B3DD9" w:rsidP="00611813">
      <w:pPr>
        <w:spacing w:after="120"/>
        <w:rPr>
          <w:noProof/>
          <w:lang w:eastAsia="en-IE"/>
        </w:rPr>
      </w:pPr>
      <w:r>
        <w:rPr>
          <w:noProof/>
        </w:rPr>
        <w:t>T</w:t>
      </w:r>
      <w:r w:rsidRPr="006B3DD9">
        <w:rPr>
          <w:noProof/>
        </w:rPr>
        <w:t xml:space="preserve">he Commission </w:t>
      </w:r>
      <w:r w:rsidRPr="006B3DD9">
        <w:rPr>
          <w:b/>
          <w:bCs/>
          <w:noProof/>
        </w:rPr>
        <w:t>Informal Company law Expert Group (ICLEG)</w:t>
      </w:r>
      <w:r w:rsidRPr="006B3DD9">
        <w:rPr>
          <w:noProof/>
        </w:rPr>
        <w:t xml:space="preserve"> consisting of 1</w:t>
      </w:r>
      <w:r w:rsidR="00511978">
        <w:rPr>
          <w:noProof/>
        </w:rPr>
        <w:t>6</w:t>
      </w:r>
      <w:r w:rsidRPr="006B3DD9">
        <w:rPr>
          <w:noProof/>
        </w:rPr>
        <w:t xml:space="preserve"> company law academics and practitioners from 12 Member States and EFTA countries </w:t>
      </w:r>
      <w:r w:rsidR="00840B64">
        <w:rPr>
          <w:noProof/>
        </w:rPr>
        <w:t>(</w:t>
      </w:r>
      <w:r w:rsidR="00DC5A33">
        <w:rPr>
          <w:noProof/>
        </w:rPr>
        <w:t xml:space="preserve">Denmark, </w:t>
      </w:r>
      <w:r w:rsidR="005571D5">
        <w:rPr>
          <w:noProof/>
        </w:rPr>
        <w:t>Germany</w:t>
      </w:r>
      <w:r w:rsidR="00FD4E6F">
        <w:rPr>
          <w:noProof/>
        </w:rPr>
        <w:t>,</w:t>
      </w:r>
      <w:r w:rsidR="005571D5">
        <w:rPr>
          <w:noProof/>
        </w:rPr>
        <w:t xml:space="preserve"> </w:t>
      </w:r>
      <w:r w:rsidR="00FD4E6F">
        <w:rPr>
          <w:noProof/>
        </w:rPr>
        <w:t xml:space="preserve">Spain, </w:t>
      </w:r>
      <w:r w:rsidR="00840B64">
        <w:rPr>
          <w:noProof/>
        </w:rPr>
        <w:t>France,</w:t>
      </w:r>
      <w:r w:rsidR="00DC5A33">
        <w:rPr>
          <w:noProof/>
        </w:rPr>
        <w:t xml:space="preserve"> </w:t>
      </w:r>
      <w:r w:rsidR="00C00C08">
        <w:rPr>
          <w:noProof/>
        </w:rPr>
        <w:t xml:space="preserve">Ireland, Italy, Lithuania, </w:t>
      </w:r>
      <w:r w:rsidR="00840B64">
        <w:rPr>
          <w:noProof/>
        </w:rPr>
        <w:t xml:space="preserve">Luxembourg, </w:t>
      </w:r>
      <w:r w:rsidR="00C00C08">
        <w:rPr>
          <w:noProof/>
        </w:rPr>
        <w:t xml:space="preserve">the Netherlands, </w:t>
      </w:r>
      <w:r w:rsidR="00BA4E87">
        <w:rPr>
          <w:noProof/>
        </w:rPr>
        <w:t xml:space="preserve">Norway, </w:t>
      </w:r>
      <w:r w:rsidR="00727890">
        <w:rPr>
          <w:noProof/>
        </w:rPr>
        <w:t>Austria</w:t>
      </w:r>
      <w:r w:rsidR="00BA4E87">
        <w:rPr>
          <w:noProof/>
        </w:rPr>
        <w:t xml:space="preserve"> and</w:t>
      </w:r>
      <w:r w:rsidR="00727890">
        <w:rPr>
          <w:noProof/>
        </w:rPr>
        <w:t xml:space="preserve"> </w:t>
      </w:r>
      <w:r w:rsidR="00C00C08">
        <w:rPr>
          <w:noProof/>
        </w:rPr>
        <w:t>Poland</w:t>
      </w:r>
      <w:r w:rsidR="00840B64">
        <w:rPr>
          <w:noProof/>
        </w:rPr>
        <w:t xml:space="preserve">) </w:t>
      </w:r>
      <w:r w:rsidRPr="006B3DD9">
        <w:rPr>
          <w:noProof/>
        </w:rPr>
        <w:t xml:space="preserve">held </w:t>
      </w:r>
      <w:r w:rsidR="00755176">
        <w:rPr>
          <w:noProof/>
        </w:rPr>
        <w:t>four</w:t>
      </w:r>
      <w:r w:rsidRPr="006B3DD9">
        <w:rPr>
          <w:noProof/>
        </w:rPr>
        <w:t xml:space="preserve"> meetings </w:t>
      </w:r>
      <w:r w:rsidR="00755176">
        <w:rPr>
          <w:noProof/>
        </w:rPr>
        <w:t xml:space="preserve">in 2025 </w:t>
      </w:r>
      <w:r w:rsidRPr="006B3DD9">
        <w:rPr>
          <w:noProof/>
        </w:rPr>
        <w:t>with DG JUST where the issues relevant for the initiative were discussed.</w:t>
      </w:r>
      <w:r w:rsidR="00C00C08">
        <w:rPr>
          <w:noProof/>
        </w:rPr>
        <w:t xml:space="preserve"> </w:t>
      </w:r>
      <w:r w:rsidR="00611813" w:rsidRPr="002A7727">
        <w:rPr>
          <w:noProof/>
        </w:rPr>
        <w:t xml:space="preserve">During the discussions, as regards the scope, several ICLEG members argued that the future proposal should not be restricted to certain types of companies and that one should not try to define those. </w:t>
      </w:r>
      <w:r w:rsidR="00611813" w:rsidRPr="002A7727">
        <w:rPr>
          <w:noProof/>
          <w:lang w:eastAsia="en-IE"/>
        </w:rPr>
        <w:t xml:space="preserve">The participants </w:t>
      </w:r>
      <w:r w:rsidR="001F4D15" w:rsidRPr="002A7727">
        <w:rPr>
          <w:noProof/>
          <w:lang w:eastAsia="en-IE"/>
        </w:rPr>
        <w:t>also</w:t>
      </w:r>
      <w:r w:rsidR="00611813" w:rsidRPr="002A7727">
        <w:rPr>
          <w:noProof/>
          <w:lang w:eastAsia="en-IE"/>
        </w:rPr>
        <w:t xml:space="preserve"> discussed about what legal approaches might be best suited to establish a unified corporate identity/brand recognised throughout the EU, and differences between the creation of a new legal form and introducing an EU label. The need for a consistent framework that allows for national variations while providing uniformity was emphasised. </w:t>
      </w:r>
    </w:p>
    <w:p w14:paraId="7B4E24A2" w14:textId="2E9D1454" w:rsidR="008D7E47" w:rsidRPr="002A7727" w:rsidRDefault="008D7E47" w:rsidP="008D7E47">
      <w:pPr>
        <w:spacing w:after="120"/>
        <w:rPr>
          <w:noProof/>
          <w:lang w:eastAsia="en-IE"/>
        </w:rPr>
      </w:pPr>
      <w:r w:rsidRPr="002A7727">
        <w:rPr>
          <w:noProof/>
          <w:lang w:eastAsia="en-IE"/>
        </w:rPr>
        <w:t>As regards rules and procedures for 28</w:t>
      </w:r>
      <w:r w:rsidRPr="002A7727">
        <w:rPr>
          <w:noProof/>
          <w:vertAlign w:val="superscript"/>
          <w:lang w:eastAsia="en-IE"/>
        </w:rPr>
        <w:t>th</w:t>
      </w:r>
      <w:r w:rsidRPr="002A7727">
        <w:rPr>
          <w:noProof/>
          <w:lang w:eastAsia="en-IE"/>
        </w:rPr>
        <w:t xml:space="preserve"> regime companies, the need to simplify procedures was also stressed during discussions, for instance by ensuring that founders only needed to contact one authority per Member State, and the role of national single-entry points for company formation and the possibility of one EU access point were mentioned. There was support for using standardised templates with limited and pre-determined options, which could assist entrepreneurs in the incorporation. The use of English as a standard language</w:t>
      </w:r>
      <w:r w:rsidRPr="002A7727">
        <w:rPr>
          <w:b/>
          <w:noProof/>
          <w:lang w:eastAsia="en-IE"/>
        </w:rPr>
        <w:t xml:space="preserve"> </w:t>
      </w:r>
      <w:r w:rsidRPr="002A7727">
        <w:rPr>
          <w:noProof/>
          <w:lang w:eastAsia="en-IE"/>
        </w:rPr>
        <w:t xml:space="preserve">for legal documents was also suggested, with some ICLEG members mentioning that bilingual templates might be better given usual national requirements for the official Member State language. As regards liquidation, it was pointed out that it should be done as a “one-stop-shop” without the need for companies to file separately to different authorities, but these were viewed as less urgent compared to the need for streamlined company setup processes. </w:t>
      </w:r>
      <w:r w:rsidRPr="002A7727">
        <w:rPr>
          <w:noProof/>
        </w:rPr>
        <w:t>The need for flexibility and digital tools as regards governance of companies were also mentioned.</w:t>
      </w:r>
    </w:p>
    <w:p w14:paraId="75F94FA0" w14:textId="14580AB8" w:rsidR="008D7E47" w:rsidRPr="000A02EB" w:rsidRDefault="008D7E47" w:rsidP="008D7E47">
      <w:pPr>
        <w:spacing w:after="120"/>
        <w:rPr>
          <w:noProof/>
          <w:lang w:eastAsia="en-IE"/>
        </w:rPr>
      </w:pPr>
      <w:r w:rsidRPr="002A7727">
        <w:rPr>
          <w:noProof/>
          <w:lang w:eastAsia="en-IE"/>
        </w:rPr>
        <w:t xml:space="preserve">As regards measures relevant for attracting investment to 28th regime companies, </w:t>
      </w:r>
      <w:r w:rsidRPr="002A7727">
        <w:rPr>
          <w:noProof/>
        </w:rPr>
        <w:t xml:space="preserve">there was broad agreement that these were important issues to address. Making private contractual instruments such as “Simple Agreements for Future Equity” (SAFEs) contracts easier, looking at classes of shares and authorised capital were considered to be essential topics. </w:t>
      </w:r>
      <w:r w:rsidRPr="002A7727">
        <w:rPr>
          <w:noProof/>
          <w:lang w:eastAsia="en-IE"/>
        </w:rPr>
        <w:t>The need for both simplicity and flexibility was underlined. On minimum share capital, it was mentioned that it does not provide a protection for creditors as the current financial situation of the company is more relevant. It was also argued that more flexibility would be useful for types of shares, to be able to delegate an increase of capital to the board of directors and to have more flexible rules on capital.</w:t>
      </w:r>
      <w:r w:rsidRPr="00983389">
        <w:rPr>
          <w:noProof/>
          <w:lang w:eastAsia="en-IE"/>
        </w:rPr>
        <w:t xml:space="preserve"> </w:t>
      </w:r>
    </w:p>
    <w:p w14:paraId="596C873B" w14:textId="7CCC1F2E" w:rsidR="006B3DD9" w:rsidRDefault="00E8565E" w:rsidP="004F0051">
      <w:pPr>
        <w:spacing w:after="120"/>
        <w:rPr>
          <w:noProof/>
        </w:rPr>
      </w:pPr>
      <w:r w:rsidRPr="00E8565E">
        <w:rPr>
          <w:noProof/>
        </w:rPr>
        <w:t>The minutes of these meetings are available in the Commission register of expert groups</w:t>
      </w:r>
      <w:r w:rsidR="00511978">
        <w:rPr>
          <w:rStyle w:val="FootnoteReference"/>
          <w:noProof/>
        </w:rPr>
        <w:footnoteReference w:id="7"/>
      </w:r>
      <w:r w:rsidRPr="00E8565E">
        <w:rPr>
          <w:noProof/>
        </w:rPr>
        <w:t xml:space="preserve">. ICLEG also drew up </w:t>
      </w:r>
      <w:r w:rsidR="00F46C24">
        <w:rPr>
          <w:noProof/>
        </w:rPr>
        <w:t xml:space="preserve">templates </w:t>
      </w:r>
      <w:r w:rsidR="00E002EE">
        <w:rPr>
          <w:noProof/>
        </w:rPr>
        <w:t>with</w:t>
      </w:r>
      <w:r w:rsidR="00F46C24">
        <w:rPr>
          <w:noProof/>
        </w:rPr>
        <w:t xml:space="preserve"> national laws relevant for this initiative, which </w:t>
      </w:r>
      <w:r w:rsidR="00586188">
        <w:rPr>
          <w:noProof/>
        </w:rPr>
        <w:t xml:space="preserve">were used </w:t>
      </w:r>
      <w:r w:rsidR="005349FB">
        <w:rPr>
          <w:noProof/>
        </w:rPr>
        <w:t xml:space="preserve">as </w:t>
      </w:r>
      <w:r w:rsidR="00C22AD6">
        <w:rPr>
          <w:noProof/>
        </w:rPr>
        <w:t xml:space="preserve">background information for </w:t>
      </w:r>
      <w:r w:rsidR="00C22AD6" w:rsidRPr="00E002EE">
        <w:rPr>
          <w:noProof/>
        </w:rPr>
        <w:t>this IA</w:t>
      </w:r>
      <w:r w:rsidR="0069627B" w:rsidRPr="00E002EE">
        <w:rPr>
          <w:noProof/>
        </w:rPr>
        <w:t xml:space="preserve"> report</w:t>
      </w:r>
      <w:r w:rsidR="00C22AD6" w:rsidRPr="00E002EE">
        <w:rPr>
          <w:noProof/>
        </w:rPr>
        <w:t>.</w:t>
      </w:r>
      <w:r w:rsidR="00F46C24" w:rsidRPr="00E002EE">
        <w:rPr>
          <w:noProof/>
        </w:rPr>
        <w:t xml:space="preserve"> </w:t>
      </w:r>
    </w:p>
    <w:p w14:paraId="396742D9" w14:textId="331AFDC5" w:rsidR="00681C52" w:rsidRDefault="00681C52" w:rsidP="004F0051">
      <w:pPr>
        <w:spacing w:after="120"/>
        <w:rPr>
          <w:noProof/>
        </w:rPr>
      </w:pPr>
      <w:r>
        <w:rPr>
          <w:noProof/>
        </w:rPr>
        <w:t xml:space="preserve">Finally, </w:t>
      </w:r>
      <w:r w:rsidR="000108CC">
        <w:rPr>
          <w:noProof/>
        </w:rPr>
        <w:t>Commission</w:t>
      </w:r>
      <w:r w:rsidR="00002236">
        <w:rPr>
          <w:noProof/>
        </w:rPr>
        <w:t xml:space="preserve"> took into account the </w:t>
      </w:r>
      <w:r w:rsidR="00002236" w:rsidRPr="00ED672E">
        <w:rPr>
          <w:b/>
          <w:noProof/>
        </w:rPr>
        <w:t>JURI</w:t>
      </w:r>
      <w:r w:rsidR="009C1B1C" w:rsidRPr="00ED672E">
        <w:rPr>
          <w:b/>
          <w:noProof/>
        </w:rPr>
        <w:t xml:space="preserve"> own-initiative legislative report “On the 28</w:t>
      </w:r>
      <w:r w:rsidR="009C1B1C" w:rsidRPr="00ED672E">
        <w:rPr>
          <w:b/>
          <w:noProof/>
          <w:vertAlign w:val="superscript"/>
        </w:rPr>
        <w:t>th</w:t>
      </w:r>
      <w:r w:rsidR="009C1B1C" w:rsidRPr="00ED672E">
        <w:rPr>
          <w:b/>
          <w:noProof/>
        </w:rPr>
        <w:t xml:space="preserve"> regime: a new legal framework for innovative companies”</w:t>
      </w:r>
      <w:r w:rsidR="009C1B1C">
        <w:rPr>
          <w:rStyle w:val="FootnoteReference"/>
          <w:noProof/>
        </w:rPr>
        <w:footnoteReference w:id="8"/>
      </w:r>
      <w:r w:rsidR="009C1B1C">
        <w:rPr>
          <w:noProof/>
        </w:rPr>
        <w:t>, scheduled for plenary adoption in January 2026</w:t>
      </w:r>
      <w:r w:rsidR="009A439B">
        <w:rPr>
          <w:noProof/>
        </w:rPr>
        <w:t xml:space="preserve">, when preparing the </w:t>
      </w:r>
      <w:r w:rsidR="006729B2">
        <w:rPr>
          <w:noProof/>
        </w:rPr>
        <w:t xml:space="preserve">impact assessment for this initiative. </w:t>
      </w:r>
      <w:r w:rsidR="00C559E1">
        <w:rPr>
          <w:noProof/>
        </w:rPr>
        <w:t>For a</w:t>
      </w:r>
      <w:r w:rsidR="00F32013">
        <w:rPr>
          <w:noProof/>
        </w:rPr>
        <w:t xml:space="preserve"> summary of the </w:t>
      </w:r>
      <w:r w:rsidR="00C97098">
        <w:rPr>
          <w:noProof/>
        </w:rPr>
        <w:t xml:space="preserve">own-initiative </w:t>
      </w:r>
      <w:r w:rsidR="00F32013">
        <w:rPr>
          <w:noProof/>
        </w:rPr>
        <w:t>report</w:t>
      </w:r>
      <w:r w:rsidR="00C97098">
        <w:rPr>
          <w:noProof/>
        </w:rPr>
        <w:t xml:space="preserve">, see section </w:t>
      </w:r>
      <w:r w:rsidR="00C0394D">
        <w:rPr>
          <w:noProof/>
        </w:rPr>
        <w:t>4</w:t>
      </w:r>
      <w:r w:rsidR="00111D00">
        <w:rPr>
          <w:noProof/>
        </w:rPr>
        <w:t xml:space="preserve"> below.</w:t>
      </w:r>
      <w:r w:rsidR="00F32013">
        <w:rPr>
          <w:noProof/>
        </w:rPr>
        <w:t xml:space="preserve"> </w:t>
      </w:r>
      <w:r w:rsidR="00200A7C">
        <w:rPr>
          <w:noProof/>
        </w:rPr>
        <w:t xml:space="preserve"> </w:t>
      </w:r>
      <w:r w:rsidR="00F35085">
        <w:rPr>
          <w:noProof/>
        </w:rPr>
        <w:t xml:space="preserve"> </w:t>
      </w:r>
    </w:p>
    <w:p w14:paraId="723FD994" w14:textId="06A99A90" w:rsidR="00CF5295" w:rsidRPr="007073AD" w:rsidRDefault="006D1B80" w:rsidP="00A357EC">
      <w:pPr>
        <w:pStyle w:val="Heading1"/>
        <w:numPr>
          <w:ilvl w:val="0"/>
          <w:numId w:val="4"/>
        </w:numPr>
        <w:rPr>
          <w:noProof/>
          <w:lang w:val="en-IE"/>
        </w:rPr>
      </w:pPr>
      <w:bookmarkStart w:id="13" w:name="_Toc219390717"/>
      <w:r w:rsidRPr="007073AD">
        <w:rPr>
          <w:noProof/>
          <w:lang w:val="en-IE"/>
        </w:rPr>
        <w:t>Result</w:t>
      </w:r>
      <w:r w:rsidR="00735A76" w:rsidRPr="007073AD">
        <w:rPr>
          <w:noProof/>
          <w:lang w:val="en-IE"/>
        </w:rPr>
        <w:t>s</w:t>
      </w:r>
      <w:r w:rsidRPr="007073AD">
        <w:rPr>
          <w:noProof/>
          <w:lang w:val="en-IE"/>
        </w:rPr>
        <w:t xml:space="preserve"> of the consultation activities</w:t>
      </w:r>
      <w:bookmarkEnd w:id="13"/>
      <w:r w:rsidRPr="007073AD">
        <w:rPr>
          <w:noProof/>
          <w:lang w:val="en-IE"/>
        </w:rPr>
        <w:t xml:space="preserve"> </w:t>
      </w:r>
    </w:p>
    <w:p w14:paraId="4279567C" w14:textId="52939F52" w:rsidR="00D31850" w:rsidRDefault="00A45C56" w:rsidP="005D6B33">
      <w:pPr>
        <w:spacing w:after="120"/>
        <w:rPr>
          <w:noProof/>
        </w:rPr>
      </w:pPr>
      <w:r>
        <w:rPr>
          <w:noProof/>
        </w:rPr>
        <w:t xml:space="preserve">This part presents the analysis of </w:t>
      </w:r>
      <w:r w:rsidR="00100EB8">
        <w:rPr>
          <w:noProof/>
        </w:rPr>
        <w:t xml:space="preserve">feedback received </w:t>
      </w:r>
      <w:r>
        <w:rPr>
          <w:noProof/>
        </w:rPr>
        <w:t xml:space="preserve">to the public </w:t>
      </w:r>
      <w:r w:rsidR="00100EB8" w:rsidRPr="00D3267B">
        <w:rPr>
          <w:noProof/>
        </w:rPr>
        <w:t>consultation</w:t>
      </w:r>
      <w:r>
        <w:rPr>
          <w:noProof/>
        </w:rPr>
        <w:t xml:space="preserve"> on the 28</w:t>
      </w:r>
      <w:r>
        <w:rPr>
          <w:noProof/>
          <w:vertAlign w:val="superscript"/>
        </w:rPr>
        <w:t>th</w:t>
      </w:r>
      <w:r>
        <w:rPr>
          <w:noProof/>
        </w:rPr>
        <w:t xml:space="preserve"> regime</w:t>
      </w:r>
      <w:r w:rsidR="00100EB8" w:rsidRPr="00D3267B">
        <w:rPr>
          <w:noProof/>
        </w:rPr>
        <w:t xml:space="preserve"> per </w:t>
      </w:r>
      <w:r w:rsidR="00005DE2" w:rsidRPr="00D3267B">
        <w:rPr>
          <w:noProof/>
        </w:rPr>
        <w:t>topics</w:t>
      </w:r>
      <w:r w:rsidR="00100EB8" w:rsidRPr="00D3267B">
        <w:rPr>
          <w:noProof/>
        </w:rPr>
        <w:t xml:space="preserve"> relevant </w:t>
      </w:r>
      <w:r w:rsidR="009C081B" w:rsidRPr="00D3267B">
        <w:rPr>
          <w:noProof/>
        </w:rPr>
        <w:t>for this impact assessment</w:t>
      </w:r>
      <w:r w:rsidR="009C081B">
        <w:rPr>
          <w:noProof/>
        </w:rPr>
        <w:t xml:space="preserve">. In addition, </w:t>
      </w:r>
      <w:r w:rsidR="00BB413F" w:rsidRPr="00BB413F">
        <w:rPr>
          <w:noProof/>
        </w:rPr>
        <w:t xml:space="preserve">the feedback received </w:t>
      </w:r>
      <w:r w:rsidR="00D31850">
        <w:rPr>
          <w:noProof/>
        </w:rPr>
        <w:t>from</w:t>
      </w:r>
      <w:r w:rsidR="00BB413F" w:rsidRPr="00BB413F">
        <w:rPr>
          <w:noProof/>
        </w:rPr>
        <w:t xml:space="preserve"> stakeholders on the </w:t>
      </w:r>
      <w:r w:rsidR="00D31850">
        <w:rPr>
          <w:noProof/>
        </w:rPr>
        <w:t xml:space="preserve">call for evidence is included </w:t>
      </w:r>
      <w:r w:rsidR="00341E8E">
        <w:rPr>
          <w:noProof/>
        </w:rPr>
        <w:t>in section 3</w:t>
      </w:r>
      <w:r w:rsidR="00F866A6">
        <w:rPr>
          <w:noProof/>
        </w:rPr>
        <w:t xml:space="preserve"> below</w:t>
      </w:r>
      <w:r w:rsidR="00BB413F" w:rsidRPr="00BB413F">
        <w:rPr>
          <w:noProof/>
        </w:rPr>
        <w:t xml:space="preserve">. </w:t>
      </w:r>
    </w:p>
    <w:p w14:paraId="1555D394" w14:textId="67D292B1" w:rsidR="009353DB" w:rsidRDefault="009039FD" w:rsidP="005D6B33">
      <w:pPr>
        <w:spacing w:after="120"/>
        <w:rPr>
          <w:rFonts w:eastAsia="Calibri"/>
          <w:b/>
          <w:bCs/>
          <w:i/>
          <w:iCs/>
          <w:noProof/>
        </w:rPr>
      </w:pPr>
      <w:r w:rsidRPr="009039FD">
        <w:rPr>
          <w:rFonts w:eastAsia="Calibri"/>
          <w:b/>
          <w:bCs/>
          <w:i/>
          <w:iCs/>
          <w:noProof/>
        </w:rPr>
        <w:t xml:space="preserve">A </w:t>
      </w:r>
      <w:r w:rsidR="009353DB" w:rsidRPr="009039FD">
        <w:rPr>
          <w:rFonts w:eastAsia="Calibri"/>
          <w:b/>
          <w:bCs/>
          <w:i/>
          <w:iCs/>
          <w:noProof/>
        </w:rPr>
        <w:t xml:space="preserve">harmonised company legal form for entrepreneurs </w:t>
      </w:r>
    </w:p>
    <w:p w14:paraId="66513FB8" w14:textId="484A2492" w:rsidR="00B87998" w:rsidRPr="007073AD" w:rsidRDefault="00085BBF" w:rsidP="004503DF">
      <w:pPr>
        <w:spacing w:after="120"/>
        <w:rPr>
          <w:noProof/>
        </w:rPr>
      </w:pPr>
      <w:r w:rsidRPr="249B2C69">
        <w:rPr>
          <w:noProof/>
          <w:lang w:val="en-IE"/>
        </w:rPr>
        <w:t>Over 85% of respondents considered that divergent company law frameworks in Member States created barriers to a large or very large extent and that legal advice was needed due to complexity related to different company legal forms and/or to the procedure to set up companies in other Member States.</w:t>
      </w:r>
      <w:r w:rsidR="00F507F1" w:rsidRPr="249B2C69">
        <w:rPr>
          <w:noProof/>
          <w:lang w:val="en-IE"/>
        </w:rPr>
        <w:t xml:space="preserve"> </w:t>
      </w:r>
      <w:r w:rsidR="00A6034B" w:rsidRPr="249B2C69">
        <w:rPr>
          <w:noProof/>
          <w:lang w:val="en-IE"/>
        </w:rPr>
        <w:t>The lack of available information about company legal forms and/or the procedure to set up companies in other Member States (70%) was seen as creating problems to a large or very large extent.</w:t>
      </w:r>
      <w:r w:rsidR="00B87998" w:rsidRPr="249B2C69">
        <w:rPr>
          <w:noProof/>
          <w:lang w:val="en-IE"/>
        </w:rPr>
        <w:t xml:space="preserve"> 74% of respondents also saw the </w:t>
      </w:r>
      <w:r w:rsidR="004503DF" w:rsidRPr="249B2C69">
        <w:rPr>
          <w:noProof/>
          <w:lang w:val="en-IE"/>
        </w:rPr>
        <w:t xml:space="preserve">lack of an “EU brand” for private companies </w:t>
      </w:r>
      <w:r w:rsidR="00510621" w:rsidRPr="249B2C69">
        <w:rPr>
          <w:noProof/>
          <w:lang w:val="en-IE"/>
        </w:rPr>
        <w:t>as a barrier for setting up, operating or closing down a company or attracting finance in the EU to a large or very large extent.</w:t>
      </w:r>
    </w:p>
    <w:p w14:paraId="0504DAAF" w14:textId="01ABB680" w:rsidR="007A5A5E" w:rsidRPr="007073AD" w:rsidRDefault="000C0DAE" w:rsidP="007A5A5E">
      <w:pPr>
        <w:spacing w:after="120"/>
        <w:rPr>
          <w:noProof/>
        </w:rPr>
      </w:pPr>
      <w:r w:rsidRPr="249B2C69">
        <w:rPr>
          <w:noProof/>
          <w:lang w:val="en-IE"/>
        </w:rPr>
        <w:t xml:space="preserve">More than 88% of respondents (1184) agreed that the </w:t>
      </w:r>
      <w:r w:rsidRPr="249B2C69">
        <w:rPr>
          <w:b/>
          <w:noProof/>
          <w:lang w:val="en-IE"/>
        </w:rPr>
        <w:t>EU-brand</w:t>
      </w:r>
      <w:r w:rsidRPr="249B2C69">
        <w:rPr>
          <w:noProof/>
          <w:lang w:val="en-IE"/>
        </w:rPr>
        <w:t xml:space="preserve"> would bring benefits, while 8% did not know or had no opinion and less than 4% replied negatively. </w:t>
      </w:r>
      <w:r w:rsidR="007A5A5E" w:rsidRPr="249B2C69">
        <w:rPr>
          <w:noProof/>
          <w:lang w:val="en-IE"/>
        </w:rPr>
        <w:t>When asked about the specific benefits and their magnitude, respondents considered that the most significant benefit was that investors would be attracted to invest in the 28</w:t>
      </w:r>
      <w:r w:rsidR="007A5A5E" w:rsidRPr="249B2C69">
        <w:rPr>
          <w:noProof/>
          <w:vertAlign w:val="superscript"/>
          <w:lang w:val="en-IE"/>
        </w:rPr>
        <w:t>th</w:t>
      </w:r>
      <w:r w:rsidR="007A5A5E" w:rsidRPr="249B2C69">
        <w:rPr>
          <w:noProof/>
          <w:lang w:val="en-IE"/>
        </w:rPr>
        <w:t xml:space="preserve"> regime companies, with 93% considering that this would be the case to a large or very large extent (and 73% as very large). The next benefit would be that more startups would be created in Europe (84% agreed to a large or very large extent), followed by other companies (suppliers, contractors etc.) from other Member States being attracted to do business with the 28th regime companies (82% agreed to a large or very large extent). The benefit that consumers would recognise the 28</w:t>
      </w:r>
      <w:r w:rsidR="007A5A5E" w:rsidRPr="249B2C69">
        <w:rPr>
          <w:noProof/>
          <w:vertAlign w:val="superscript"/>
          <w:lang w:val="en-IE"/>
        </w:rPr>
        <w:t>th</w:t>
      </w:r>
      <w:r w:rsidR="007A5A5E" w:rsidRPr="249B2C69">
        <w:rPr>
          <w:noProof/>
          <w:lang w:val="en-IE"/>
        </w:rPr>
        <w:t xml:space="preserve"> regime company as an EU company and would buy more products and services from such companies were also ranked as a very important benefit (74% agreed to a large or very large extent). </w:t>
      </w:r>
    </w:p>
    <w:p w14:paraId="782A990B" w14:textId="77777777" w:rsidR="00076402" w:rsidRDefault="005E7491" w:rsidP="007A5A5E">
      <w:pPr>
        <w:spacing w:after="120"/>
        <w:rPr>
          <w:noProof/>
          <w:lang w:val="en-IE"/>
        </w:rPr>
      </w:pPr>
      <w:r w:rsidRPr="249B2C69">
        <w:rPr>
          <w:b/>
          <w:noProof/>
          <w:lang w:val="en-IE"/>
        </w:rPr>
        <w:t>As to an appropriate company type for 28</w:t>
      </w:r>
      <w:r w:rsidRPr="249B2C69">
        <w:rPr>
          <w:b/>
          <w:noProof/>
          <w:vertAlign w:val="superscript"/>
          <w:lang w:val="en-IE"/>
        </w:rPr>
        <w:t>th</w:t>
      </w:r>
      <w:r w:rsidRPr="249B2C69">
        <w:rPr>
          <w:b/>
          <w:noProof/>
          <w:lang w:val="en-IE"/>
        </w:rPr>
        <w:t xml:space="preserve"> regime companies</w:t>
      </w:r>
      <w:r w:rsidRPr="249B2C69">
        <w:rPr>
          <w:noProof/>
          <w:lang w:val="en-IE"/>
        </w:rPr>
        <w:t>, respondents were asked about whether the new corporate rules would be available to all companies of a specific type or to a subset of companies (such as innovative companies, startups, scaleups etc.) - 81% of all respondents (1084) selected the private limited liability company. Among them, the vast majority (83%) wanted the 28</w:t>
      </w:r>
      <w:r w:rsidRPr="249B2C69">
        <w:rPr>
          <w:noProof/>
          <w:vertAlign w:val="superscript"/>
          <w:lang w:val="en-IE"/>
        </w:rPr>
        <w:t>th</w:t>
      </w:r>
      <w:r w:rsidRPr="249B2C69">
        <w:rPr>
          <w:noProof/>
          <w:lang w:val="en-IE"/>
        </w:rPr>
        <w:t xml:space="preserve"> regime company type for all private limited liability companies, while 10% preferred restricting it to a sub-set of private limited liability companies (startups, innovative companies and scaleups). </w:t>
      </w:r>
      <w:r w:rsidR="00127140" w:rsidRPr="249B2C69">
        <w:rPr>
          <w:noProof/>
          <w:lang w:val="en-IE"/>
        </w:rPr>
        <w:t>8% of respondents (107) selected the public limited liability company and the majority of those (69%) wanted the 28</w:t>
      </w:r>
      <w:r w:rsidR="00127140" w:rsidRPr="249B2C69">
        <w:rPr>
          <w:noProof/>
          <w:vertAlign w:val="superscript"/>
          <w:lang w:val="en-IE"/>
        </w:rPr>
        <w:t>th</w:t>
      </w:r>
      <w:r w:rsidR="00127140" w:rsidRPr="249B2C69">
        <w:rPr>
          <w:noProof/>
          <w:lang w:val="en-IE"/>
        </w:rPr>
        <w:t xml:space="preserve"> regime company type for all public limited liability companies. 11% (146) chose another company type</w:t>
      </w:r>
      <w:r w:rsidR="008C03EC" w:rsidRPr="249B2C69">
        <w:rPr>
          <w:noProof/>
          <w:lang w:val="en-IE"/>
        </w:rPr>
        <w:t>; a majority of those considered that the 28</w:t>
      </w:r>
      <w:r w:rsidR="008C03EC" w:rsidRPr="249B2C69">
        <w:rPr>
          <w:noProof/>
          <w:vertAlign w:val="superscript"/>
          <w:lang w:val="en-IE"/>
        </w:rPr>
        <w:t>th</w:t>
      </w:r>
      <w:r w:rsidR="008C03EC" w:rsidRPr="249B2C69">
        <w:rPr>
          <w:noProof/>
          <w:lang w:val="en-IE"/>
        </w:rPr>
        <w:t xml:space="preserve"> regime should be available to both private and public limited liability companies, without restrictions on size or sector</w:t>
      </w:r>
      <w:r w:rsidR="00F47517" w:rsidRPr="249B2C69">
        <w:rPr>
          <w:noProof/>
          <w:lang w:val="en-IE"/>
        </w:rPr>
        <w:t xml:space="preserve"> as </w:t>
      </w:r>
      <w:r w:rsidR="008C03EC" w:rsidRPr="249B2C69">
        <w:rPr>
          <w:noProof/>
          <w:lang w:val="en-IE"/>
        </w:rPr>
        <w:t>this would allow companies to start as private and transition to public as they gr</w:t>
      </w:r>
      <w:r w:rsidR="00CB16ED" w:rsidRPr="249B2C69">
        <w:rPr>
          <w:noProof/>
          <w:lang w:val="en-IE"/>
        </w:rPr>
        <w:t>e</w:t>
      </w:r>
      <w:r w:rsidR="008C03EC" w:rsidRPr="249B2C69">
        <w:rPr>
          <w:noProof/>
          <w:lang w:val="en-IE"/>
        </w:rPr>
        <w:t>w.</w:t>
      </w:r>
      <w:r w:rsidR="00FE1310" w:rsidRPr="249B2C69">
        <w:rPr>
          <w:noProof/>
          <w:lang w:val="en-IE"/>
        </w:rPr>
        <w:t xml:space="preserve"> Others mentioned that while focus should be on private limited liability companies, they should be able to access public stock markets (e.g. possible in Belgian law).</w:t>
      </w:r>
      <w:r w:rsidR="007326EE" w:rsidRPr="249B2C69">
        <w:rPr>
          <w:noProof/>
          <w:lang w:val="en-IE"/>
        </w:rPr>
        <w:t xml:space="preserve"> Taking inspiration from existing national legal forms such as the French SAS and the Austrian FlexCo was also mentioned. </w:t>
      </w:r>
      <w:r w:rsidR="00F857ED" w:rsidRPr="249B2C69">
        <w:rPr>
          <w:noProof/>
          <w:lang w:val="en-IE"/>
        </w:rPr>
        <w:t>At the same time the trade unions were of the view that the 28</w:t>
      </w:r>
      <w:r w:rsidR="00F857ED" w:rsidRPr="009E450A">
        <w:rPr>
          <w:noProof/>
          <w:vertAlign w:val="superscript"/>
          <w:lang w:val="en-IE"/>
        </w:rPr>
        <w:t>th</w:t>
      </w:r>
      <w:r w:rsidR="00F857ED" w:rsidRPr="249B2C69">
        <w:rPr>
          <w:noProof/>
          <w:lang w:val="en-IE"/>
        </w:rPr>
        <w:t xml:space="preserve"> regime should apply to a very limited scope - only to a subset of private limited liability companies.</w:t>
      </w:r>
      <w:r w:rsidR="00A57388" w:rsidRPr="249B2C69">
        <w:rPr>
          <w:noProof/>
          <w:lang w:val="en-IE"/>
        </w:rPr>
        <w:t xml:space="preserve"> </w:t>
      </w:r>
    </w:p>
    <w:p w14:paraId="049821D4" w14:textId="3EFC8296" w:rsidR="00A57388" w:rsidRPr="007073AD" w:rsidRDefault="00A57388" w:rsidP="007A5A5E">
      <w:pPr>
        <w:spacing w:after="120"/>
        <w:rPr>
          <w:noProof/>
        </w:rPr>
      </w:pPr>
      <w:r w:rsidRPr="249B2C69">
        <w:rPr>
          <w:noProof/>
          <w:lang w:val="en-IE"/>
        </w:rPr>
        <w:t xml:space="preserve">There was also a general agreement among participants of the </w:t>
      </w:r>
      <w:r w:rsidRPr="249B2C69">
        <w:rPr>
          <w:b/>
          <w:i/>
          <w:noProof/>
          <w:lang w:val="en-IE"/>
        </w:rPr>
        <w:t xml:space="preserve">HLF on </w:t>
      </w:r>
      <w:r w:rsidR="00C70C7C" w:rsidRPr="249B2C69">
        <w:rPr>
          <w:b/>
          <w:i/>
          <w:noProof/>
          <w:lang w:val="en-IE"/>
        </w:rPr>
        <w:t>J</w:t>
      </w:r>
      <w:r w:rsidRPr="249B2C69">
        <w:rPr>
          <w:b/>
          <w:i/>
          <w:noProof/>
          <w:lang w:val="en-IE"/>
        </w:rPr>
        <w:t xml:space="preserve">ustice for </w:t>
      </w:r>
      <w:r w:rsidR="00C70C7C" w:rsidRPr="249B2C69">
        <w:rPr>
          <w:b/>
          <w:i/>
          <w:noProof/>
          <w:lang w:val="en-IE"/>
        </w:rPr>
        <w:t>G</w:t>
      </w:r>
      <w:r w:rsidRPr="249B2C69">
        <w:rPr>
          <w:b/>
          <w:i/>
          <w:noProof/>
          <w:lang w:val="en-IE"/>
        </w:rPr>
        <w:t>rowth</w:t>
      </w:r>
      <w:r w:rsidRPr="249B2C69">
        <w:rPr>
          <w:noProof/>
          <w:lang w:val="en-IE"/>
        </w:rPr>
        <w:t>, including Member States, business associations and legal professionals, in favour of a broad scope for the corporate framework, i.e. not limited to a sub-set of companies such as startups or innovative companies, due to difficulties to establish an appropriate definition, the administrative burden involved in demonstrating compliance and complications when companies no longer meet the definition. Some business associations stressed the importance of not limiting the access to newly created companies, and the need to cover the whole lifecycle.</w:t>
      </w:r>
    </w:p>
    <w:p w14:paraId="504E0267" w14:textId="10F3CE7A" w:rsidR="008D1A81" w:rsidRDefault="008D1A81" w:rsidP="008D1A81">
      <w:pPr>
        <w:spacing w:after="120"/>
        <w:rPr>
          <w:noProof/>
        </w:rPr>
      </w:pPr>
      <w:r w:rsidRPr="007073AD">
        <w:rPr>
          <w:noProof/>
        </w:rPr>
        <w:t xml:space="preserve">As regards </w:t>
      </w:r>
      <w:r w:rsidRPr="007073AD">
        <w:rPr>
          <w:b/>
          <w:noProof/>
        </w:rPr>
        <w:t>who should be able to set up a 28</w:t>
      </w:r>
      <w:r w:rsidRPr="009E450A">
        <w:rPr>
          <w:b/>
          <w:noProof/>
          <w:vertAlign w:val="superscript"/>
        </w:rPr>
        <w:t>th</w:t>
      </w:r>
      <w:r w:rsidRPr="007073AD">
        <w:rPr>
          <w:b/>
          <w:noProof/>
        </w:rPr>
        <w:t xml:space="preserve"> regime company</w:t>
      </w:r>
      <w:r w:rsidRPr="007073AD">
        <w:rPr>
          <w:noProof/>
        </w:rPr>
        <w:t xml:space="preserve">, 85% of respondents replied that both entrepreneurs and groups of companies (both natural and legal persons) should be able to do it. 14% said that it should be only entrepreneurs (natural persons) and only 1% - </w:t>
      </w:r>
      <w:r w:rsidR="00760C38" w:rsidRPr="007073AD">
        <w:rPr>
          <w:noProof/>
        </w:rPr>
        <w:t xml:space="preserve">only </w:t>
      </w:r>
      <w:r>
        <w:rPr>
          <w:noProof/>
        </w:rPr>
        <w:t>g</w:t>
      </w:r>
      <w:r w:rsidRPr="00FF6DC8">
        <w:rPr>
          <w:noProof/>
        </w:rPr>
        <w:t>roups of companies</w:t>
      </w:r>
      <w:r>
        <w:rPr>
          <w:noProof/>
        </w:rPr>
        <w:t>.</w:t>
      </w:r>
      <w:r w:rsidRPr="004A451E">
        <w:rPr>
          <w:rFonts w:ascii="Segoe UI" w:hAnsi="Segoe UI" w:cs="Segoe UI"/>
          <w:noProof/>
          <w:sz w:val="18"/>
          <w:szCs w:val="18"/>
        </w:rPr>
        <w:t xml:space="preserve"> </w:t>
      </w:r>
      <w:r w:rsidRPr="004A451E">
        <w:rPr>
          <w:noProof/>
        </w:rPr>
        <w:t>Th</w:t>
      </w:r>
      <w:r>
        <w:rPr>
          <w:noProof/>
        </w:rPr>
        <w:t xml:space="preserve">e same </w:t>
      </w:r>
      <w:r w:rsidR="0021353C">
        <w:rPr>
          <w:noProof/>
        </w:rPr>
        <w:t xml:space="preserve">percentage </w:t>
      </w:r>
      <w:r>
        <w:rPr>
          <w:noProof/>
        </w:rPr>
        <w:t xml:space="preserve">was reflected across most </w:t>
      </w:r>
      <w:r w:rsidRPr="004A451E">
        <w:rPr>
          <w:noProof/>
        </w:rPr>
        <w:t xml:space="preserve">categories of respondents, with strongest majorities </w:t>
      </w:r>
      <w:r w:rsidR="000E08F2">
        <w:rPr>
          <w:noProof/>
        </w:rPr>
        <w:t xml:space="preserve">for both natural and legal persons </w:t>
      </w:r>
      <w:r w:rsidRPr="004A451E">
        <w:rPr>
          <w:noProof/>
        </w:rPr>
        <w:t>among companies and business associations</w:t>
      </w:r>
      <w:r w:rsidR="000E08F2">
        <w:rPr>
          <w:noProof/>
        </w:rPr>
        <w:t xml:space="preserve">, and nearly all responding </w:t>
      </w:r>
      <w:r w:rsidRPr="00104C86">
        <w:rPr>
          <w:noProof/>
        </w:rPr>
        <w:t xml:space="preserve">public authorities </w:t>
      </w:r>
      <w:r w:rsidR="00962C3F">
        <w:rPr>
          <w:noProof/>
        </w:rPr>
        <w:t>also in favour of that solution</w:t>
      </w:r>
      <w:r w:rsidRPr="00104C86">
        <w:rPr>
          <w:noProof/>
        </w:rPr>
        <w:t xml:space="preserve">. </w:t>
      </w:r>
      <w:r>
        <w:rPr>
          <w:noProof/>
        </w:rPr>
        <w:t xml:space="preserve">The views were </w:t>
      </w:r>
      <w:r w:rsidR="00962C3F">
        <w:rPr>
          <w:noProof/>
        </w:rPr>
        <w:t>split</w:t>
      </w:r>
      <w:r w:rsidR="008F3BCD">
        <w:rPr>
          <w:noProof/>
        </w:rPr>
        <w:t>,</w:t>
      </w:r>
      <w:r w:rsidR="00962C3F">
        <w:rPr>
          <w:noProof/>
        </w:rPr>
        <w:t xml:space="preserve"> between </w:t>
      </w:r>
      <w:r w:rsidR="008F3BCD">
        <w:rPr>
          <w:noProof/>
        </w:rPr>
        <w:t xml:space="preserve">the set up by natural persons only and by both natural and legal persons, </w:t>
      </w:r>
      <w:r>
        <w:rPr>
          <w:noProof/>
        </w:rPr>
        <w:t>among notary associations</w:t>
      </w:r>
      <w:r w:rsidR="008F3BCD">
        <w:rPr>
          <w:noProof/>
        </w:rPr>
        <w:t>, and</w:t>
      </w:r>
      <w:r>
        <w:rPr>
          <w:noProof/>
        </w:rPr>
        <w:t xml:space="preserve"> </w:t>
      </w:r>
      <w:r w:rsidR="008F3BCD">
        <w:rPr>
          <w:noProof/>
        </w:rPr>
        <w:t>a</w:t>
      </w:r>
      <w:r w:rsidRPr="5E0CD7A8">
        <w:rPr>
          <w:noProof/>
        </w:rPr>
        <w:t>ll</w:t>
      </w:r>
      <w:r w:rsidRPr="004A451E">
        <w:rPr>
          <w:noProof/>
        </w:rPr>
        <w:t xml:space="preserve"> </w:t>
      </w:r>
      <w:r>
        <w:rPr>
          <w:noProof/>
        </w:rPr>
        <w:t xml:space="preserve">the </w:t>
      </w:r>
      <w:r w:rsidR="008F3BCD">
        <w:rPr>
          <w:noProof/>
        </w:rPr>
        <w:t xml:space="preserve">responding </w:t>
      </w:r>
      <w:r w:rsidRPr="004A451E">
        <w:rPr>
          <w:noProof/>
        </w:rPr>
        <w:t>trade unions (10) said that only natural persons should be able to set up a 28</w:t>
      </w:r>
      <w:r w:rsidRPr="004A451E">
        <w:rPr>
          <w:noProof/>
          <w:vertAlign w:val="superscript"/>
        </w:rPr>
        <w:t>th</w:t>
      </w:r>
      <w:r w:rsidRPr="004A451E">
        <w:rPr>
          <w:noProof/>
        </w:rPr>
        <w:t xml:space="preserve"> regime company.</w:t>
      </w:r>
    </w:p>
    <w:p w14:paraId="06AC94B3" w14:textId="7FEA091D" w:rsidR="00E72932" w:rsidRDefault="00573816" w:rsidP="008D1A81">
      <w:pPr>
        <w:spacing w:after="120"/>
        <w:rPr>
          <w:noProof/>
        </w:rPr>
      </w:pPr>
      <w:r w:rsidRPr="00490503">
        <w:rPr>
          <w:noProof/>
        </w:rPr>
        <w:t>In relation to the</w:t>
      </w:r>
      <w:r w:rsidRPr="004D340F">
        <w:rPr>
          <w:noProof/>
        </w:rPr>
        <w:t xml:space="preserve"> </w:t>
      </w:r>
      <w:r w:rsidRPr="00573816">
        <w:rPr>
          <w:b/>
          <w:bCs/>
          <w:noProof/>
        </w:rPr>
        <w:t>minimum number of shareholders</w:t>
      </w:r>
      <w:r>
        <w:rPr>
          <w:noProof/>
        </w:rPr>
        <w:t xml:space="preserve">, 80% of respondents </w:t>
      </w:r>
      <w:r w:rsidRPr="00490503">
        <w:rPr>
          <w:noProof/>
        </w:rPr>
        <w:t xml:space="preserve">replied </w:t>
      </w:r>
      <w:r>
        <w:rPr>
          <w:noProof/>
        </w:rPr>
        <w:t>that 28</w:t>
      </w:r>
      <w:r w:rsidRPr="009E450A">
        <w:rPr>
          <w:noProof/>
          <w:vertAlign w:val="superscript"/>
        </w:rPr>
        <w:t>th</w:t>
      </w:r>
      <w:r>
        <w:rPr>
          <w:noProof/>
        </w:rPr>
        <w:t xml:space="preserve"> regime companies should have at least one shareholder, 7% </w:t>
      </w:r>
      <w:r w:rsidRPr="00490503">
        <w:rPr>
          <w:noProof/>
        </w:rPr>
        <w:t xml:space="preserve">- </w:t>
      </w:r>
      <w:r>
        <w:rPr>
          <w:noProof/>
        </w:rPr>
        <w:t xml:space="preserve">minimum two shareholders and 4% </w:t>
      </w:r>
      <w:r w:rsidRPr="00490503">
        <w:rPr>
          <w:noProof/>
        </w:rPr>
        <w:t xml:space="preserve">- </w:t>
      </w:r>
      <w:r>
        <w:rPr>
          <w:noProof/>
        </w:rPr>
        <w:t>only one shareholder (single member company).</w:t>
      </w:r>
      <w:r w:rsidRPr="00490503">
        <w:rPr>
          <w:noProof/>
        </w:rPr>
        <w:t xml:space="preserve"> </w:t>
      </w:r>
      <w:r>
        <w:rPr>
          <w:noProof/>
        </w:rPr>
        <w:t xml:space="preserve">9% </w:t>
      </w:r>
      <w:r w:rsidRPr="00490503">
        <w:rPr>
          <w:noProof/>
        </w:rPr>
        <w:t xml:space="preserve">of respondents considered </w:t>
      </w:r>
      <w:r>
        <w:rPr>
          <w:noProof/>
        </w:rPr>
        <w:t>another option</w:t>
      </w:r>
      <w:r w:rsidRPr="00490503">
        <w:rPr>
          <w:noProof/>
        </w:rPr>
        <w:t>.</w:t>
      </w:r>
    </w:p>
    <w:p w14:paraId="2EDEBD1F" w14:textId="6E56D543" w:rsidR="00B72A68" w:rsidRDefault="0005776A" w:rsidP="0005776A">
      <w:pPr>
        <w:spacing w:after="120"/>
        <w:rPr>
          <w:noProof/>
        </w:rPr>
      </w:pPr>
      <w:r w:rsidRPr="001F07F3">
        <w:rPr>
          <w:noProof/>
        </w:rPr>
        <w:t xml:space="preserve">As regards </w:t>
      </w:r>
      <w:r w:rsidRPr="0005776A">
        <w:rPr>
          <w:b/>
          <w:bCs/>
          <w:noProof/>
        </w:rPr>
        <w:t>how 28</w:t>
      </w:r>
      <w:r w:rsidRPr="00EC209B">
        <w:rPr>
          <w:b/>
          <w:noProof/>
          <w:vertAlign w:val="superscript"/>
        </w:rPr>
        <w:t>th</w:t>
      </w:r>
      <w:r w:rsidRPr="0005776A">
        <w:rPr>
          <w:b/>
          <w:bCs/>
          <w:noProof/>
        </w:rPr>
        <w:t xml:space="preserve"> regime companies can be set up</w:t>
      </w:r>
      <w:r w:rsidRPr="001F07F3">
        <w:rPr>
          <w:noProof/>
        </w:rPr>
        <w:t xml:space="preserve">, </w:t>
      </w:r>
      <w:r>
        <w:rPr>
          <w:noProof/>
        </w:rPr>
        <w:t>a large</w:t>
      </w:r>
      <w:r w:rsidRPr="001F07F3">
        <w:rPr>
          <w:noProof/>
        </w:rPr>
        <w:t xml:space="preserve"> majority of respondents thought that both ways – by creating “from scratch” (88%) and converting an existing company (81%) – should be available</w:t>
      </w:r>
      <w:r>
        <w:rPr>
          <w:noProof/>
        </w:rPr>
        <w:t xml:space="preserve">. </w:t>
      </w:r>
      <w:r w:rsidRPr="001F07F3">
        <w:rPr>
          <w:noProof/>
        </w:rPr>
        <w:t xml:space="preserve">All the replying public authorities (11) thought that both methods should be available, whereas all replying trade unions (12) </w:t>
      </w:r>
      <w:r>
        <w:rPr>
          <w:noProof/>
        </w:rPr>
        <w:t xml:space="preserve">asked for </w:t>
      </w:r>
      <w:r w:rsidRPr="001F07F3">
        <w:rPr>
          <w:noProof/>
        </w:rPr>
        <w:t xml:space="preserve">only creation “from scratch”. </w:t>
      </w:r>
      <w:r>
        <w:rPr>
          <w:noProof/>
        </w:rPr>
        <w:t xml:space="preserve">Most of respondents who ticked the response “other” (9%) explained </w:t>
      </w:r>
      <w:r w:rsidRPr="001F07F3">
        <w:rPr>
          <w:noProof/>
        </w:rPr>
        <w:t>that both ways – from scratch and through conversion – should be made available</w:t>
      </w:r>
      <w:r>
        <w:rPr>
          <w:noProof/>
        </w:rPr>
        <w:t>.</w:t>
      </w:r>
      <w:r w:rsidR="00EC1500">
        <w:rPr>
          <w:noProof/>
        </w:rPr>
        <w:t xml:space="preserve"> </w:t>
      </w:r>
      <w:r w:rsidRPr="00A80715">
        <w:rPr>
          <w:noProof/>
        </w:rPr>
        <w:t>Out of th</w:t>
      </w:r>
      <w:r w:rsidR="00E34B88">
        <w:rPr>
          <w:noProof/>
        </w:rPr>
        <w:t xml:space="preserve">ose in favour of creation through </w:t>
      </w:r>
      <w:r w:rsidR="00E34B88" w:rsidRPr="00A80715">
        <w:rPr>
          <w:noProof/>
        </w:rPr>
        <w:t xml:space="preserve">a conversion </w:t>
      </w:r>
      <w:r w:rsidR="00E34B88">
        <w:rPr>
          <w:noProof/>
        </w:rPr>
        <w:t>(</w:t>
      </w:r>
      <w:r w:rsidRPr="00A80715">
        <w:rPr>
          <w:noProof/>
        </w:rPr>
        <w:t>1092</w:t>
      </w:r>
      <w:r w:rsidR="00E34B88">
        <w:rPr>
          <w:noProof/>
        </w:rPr>
        <w:t>)</w:t>
      </w:r>
      <w:r w:rsidRPr="00A80715">
        <w:rPr>
          <w:noProof/>
        </w:rPr>
        <w:t xml:space="preserve">, 73% indicated a cross-border conversion according to existing EU rules and 62% </w:t>
      </w:r>
      <w:r w:rsidR="00C814D9">
        <w:rPr>
          <w:noProof/>
        </w:rPr>
        <w:t xml:space="preserve">- </w:t>
      </w:r>
      <w:r w:rsidRPr="00A80715">
        <w:rPr>
          <w:noProof/>
        </w:rPr>
        <w:t xml:space="preserve">a domestic conversion. </w:t>
      </w:r>
      <w:r>
        <w:rPr>
          <w:noProof/>
        </w:rPr>
        <w:t xml:space="preserve">Nearly all </w:t>
      </w:r>
      <w:r w:rsidR="00C814D9">
        <w:rPr>
          <w:noProof/>
        </w:rPr>
        <w:t xml:space="preserve">of those in favour of a creation through a </w:t>
      </w:r>
      <w:r w:rsidR="00C814D9" w:rsidRPr="00A80715">
        <w:rPr>
          <w:noProof/>
        </w:rPr>
        <w:t xml:space="preserve">domestic conversion </w:t>
      </w:r>
      <w:r w:rsidRPr="00A80715">
        <w:rPr>
          <w:noProof/>
        </w:rPr>
        <w:t>(96%)</w:t>
      </w:r>
      <w:r w:rsidR="00C814D9">
        <w:rPr>
          <w:noProof/>
        </w:rPr>
        <w:t>,</w:t>
      </w:r>
      <w:r w:rsidRPr="00A80715">
        <w:rPr>
          <w:noProof/>
        </w:rPr>
        <w:t xml:space="preserve"> indicated that private limited liability companies should be </w:t>
      </w:r>
      <w:r>
        <w:rPr>
          <w:noProof/>
        </w:rPr>
        <w:t>able to convert</w:t>
      </w:r>
      <w:r w:rsidRPr="671879A1">
        <w:rPr>
          <w:noProof/>
        </w:rPr>
        <w:t>,</w:t>
      </w:r>
      <w:r w:rsidRPr="00A80715">
        <w:rPr>
          <w:noProof/>
        </w:rPr>
        <w:t xml:space="preserve"> 57% </w:t>
      </w:r>
      <w:r w:rsidRPr="2ECDE42C">
        <w:rPr>
          <w:noProof/>
        </w:rPr>
        <w:t>wanted</w:t>
      </w:r>
      <w:r w:rsidRPr="485389DA">
        <w:rPr>
          <w:noProof/>
        </w:rPr>
        <w:t xml:space="preserve"> this to be possible for </w:t>
      </w:r>
      <w:r w:rsidRPr="00A80715">
        <w:rPr>
          <w:noProof/>
        </w:rPr>
        <w:t xml:space="preserve">public limited liability companies and 43% - </w:t>
      </w:r>
      <w:r w:rsidRPr="6D81A622">
        <w:rPr>
          <w:noProof/>
        </w:rPr>
        <w:t xml:space="preserve">for </w:t>
      </w:r>
      <w:r w:rsidRPr="00A80715">
        <w:rPr>
          <w:noProof/>
        </w:rPr>
        <w:t>partnerships. A preference for private limited liability companies was clear in replies from companies, citizens (mainly founders and investors) and public authorities, whereas a difference between private and public was less pronounced in replies from business associations. Finally, 9% suggested other company types</w:t>
      </w:r>
      <w:r w:rsidRPr="00A80715" w:rsidDel="00BD1B3E">
        <w:rPr>
          <w:noProof/>
        </w:rPr>
        <w:t xml:space="preserve">, </w:t>
      </w:r>
      <w:r w:rsidRPr="00A80715">
        <w:rPr>
          <w:noProof/>
        </w:rPr>
        <w:t xml:space="preserve">with a few references to specific national company forms, steward owned companies </w:t>
      </w:r>
      <w:r>
        <w:rPr>
          <w:noProof/>
        </w:rPr>
        <w:t>or</w:t>
      </w:r>
      <w:r w:rsidRPr="00A80715">
        <w:rPr>
          <w:noProof/>
        </w:rPr>
        <w:t xml:space="preserve"> cooperatives.</w:t>
      </w:r>
    </w:p>
    <w:p w14:paraId="2FD93B89" w14:textId="19007F9E" w:rsidR="00523C23" w:rsidRPr="007073AD" w:rsidRDefault="002F00A0" w:rsidP="0005776A">
      <w:pPr>
        <w:spacing w:after="120"/>
        <w:rPr>
          <w:noProof/>
        </w:rPr>
      </w:pPr>
      <w:r w:rsidRPr="249B2C69">
        <w:rPr>
          <w:noProof/>
          <w:lang w:val="en-IE"/>
        </w:rPr>
        <w:t xml:space="preserve">Regarding the </w:t>
      </w:r>
      <w:r w:rsidRPr="249B2C69">
        <w:rPr>
          <w:b/>
          <w:noProof/>
          <w:lang w:val="en-IE"/>
        </w:rPr>
        <w:t>seat of the 28</w:t>
      </w:r>
      <w:r w:rsidRPr="249B2C69">
        <w:rPr>
          <w:b/>
          <w:noProof/>
          <w:vertAlign w:val="superscript"/>
          <w:lang w:val="en-IE"/>
        </w:rPr>
        <w:t>th</w:t>
      </w:r>
      <w:r w:rsidRPr="249B2C69">
        <w:rPr>
          <w:b/>
          <w:noProof/>
          <w:lang w:val="en-IE"/>
        </w:rPr>
        <w:t xml:space="preserve"> regime companies</w:t>
      </w:r>
      <w:r w:rsidRPr="249B2C69">
        <w:rPr>
          <w:noProof/>
          <w:lang w:val="en-IE"/>
        </w:rPr>
        <w:t xml:space="preserve">, 80% of respondents indicated that they should be allowed to have the registered office and the central administration (head office) in different Member States, as opposed to 14% </w:t>
      </w:r>
      <w:r w:rsidR="00B715FD" w:rsidRPr="249B2C69">
        <w:rPr>
          <w:noProof/>
          <w:lang w:val="en-IE"/>
        </w:rPr>
        <w:t xml:space="preserve">in favour of </w:t>
      </w:r>
      <w:r w:rsidRPr="249B2C69">
        <w:rPr>
          <w:noProof/>
          <w:lang w:val="en-IE"/>
        </w:rPr>
        <w:t>the registered office and the central administration (head office) in the same Member State.</w:t>
      </w:r>
      <w:r w:rsidR="00BD6268" w:rsidRPr="249B2C69">
        <w:rPr>
          <w:noProof/>
          <w:lang w:val="en-IE"/>
        </w:rPr>
        <w:t xml:space="preserve"> While business associations, companies,</w:t>
      </w:r>
      <w:r w:rsidR="00BD6268" w:rsidRPr="249B2C69" w:rsidDel="0091554B">
        <w:rPr>
          <w:noProof/>
          <w:lang w:val="en-IE"/>
        </w:rPr>
        <w:t xml:space="preserve"> </w:t>
      </w:r>
      <w:r w:rsidR="00BD6268" w:rsidRPr="249B2C69">
        <w:rPr>
          <w:noProof/>
          <w:lang w:val="en-IE"/>
        </w:rPr>
        <w:t>citizens (mainly founders and investors) and public authorities</w:t>
      </w:r>
      <w:r w:rsidR="00BD6268" w:rsidRPr="249B2C69" w:rsidDel="009B1C8A">
        <w:rPr>
          <w:noProof/>
          <w:lang w:val="en-IE"/>
        </w:rPr>
        <w:t xml:space="preserve"> </w:t>
      </w:r>
      <w:r w:rsidR="00BD6268" w:rsidRPr="249B2C69">
        <w:rPr>
          <w:noProof/>
          <w:lang w:val="en-IE"/>
        </w:rPr>
        <w:t xml:space="preserve">were in favour of allowing </w:t>
      </w:r>
      <w:r w:rsidR="00E04ECF" w:rsidRPr="249B2C69">
        <w:rPr>
          <w:noProof/>
          <w:lang w:val="en-IE"/>
        </w:rPr>
        <w:t>seats</w:t>
      </w:r>
      <w:r w:rsidR="00BD6268" w:rsidRPr="249B2C69">
        <w:rPr>
          <w:noProof/>
          <w:lang w:val="en-IE"/>
        </w:rPr>
        <w:t xml:space="preserve"> in different Member States, the responding trade unions were in favour of registered and head offices in the same Member State. </w:t>
      </w:r>
      <w:r w:rsidR="007650B5" w:rsidRPr="249B2C69">
        <w:rPr>
          <w:noProof/>
          <w:lang w:val="en-IE"/>
        </w:rPr>
        <w:t xml:space="preserve">While </w:t>
      </w:r>
      <w:r w:rsidR="00BD6268" w:rsidRPr="249B2C69">
        <w:rPr>
          <w:noProof/>
          <w:lang w:val="en-IE"/>
        </w:rPr>
        <w:t xml:space="preserve">the responding notary organisations </w:t>
      </w:r>
      <w:r w:rsidR="007650B5" w:rsidRPr="249B2C69">
        <w:rPr>
          <w:noProof/>
          <w:lang w:val="en-IE"/>
        </w:rPr>
        <w:t xml:space="preserve">were </w:t>
      </w:r>
      <w:r w:rsidR="00BD6268" w:rsidRPr="249B2C69">
        <w:rPr>
          <w:noProof/>
          <w:lang w:val="en-IE"/>
        </w:rPr>
        <w:t xml:space="preserve">mostly in favour of </w:t>
      </w:r>
      <w:r w:rsidR="00A52C5F" w:rsidRPr="249B2C69">
        <w:rPr>
          <w:noProof/>
          <w:lang w:val="en-IE"/>
        </w:rPr>
        <w:t xml:space="preserve">both seats </w:t>
      </w:r>
      <w:r w:rsidR="00BD6268" w:rsidRPr="249B2C69">
        <w:rPr>
          <w:noProof/>
          <w:lang w:val="en-IE"/>
        </w:rPr>
        <w:t xml:space="preserve">in the same Member State, some legal professional organisations </w:t>
      </w:r>
      <w:r w:rsidR="00A52C5F" w:rsidRPr="249B2C69">
        <w:rPr>
          <w:noProof/>
          <w:lang w:val="en-IE"/>
        </w:rPr>
        <w:t>preferr</w:t>
      </w:r>
      <w:r w:rsidR="007650B5" w:rsidRPr="249B2C69">
        <w:rPr>
          <w:noProof/>
          <w:lang w:val="en-IE"/>
        </w:rPr>
        <w:t>ed</w:t>
      </w:r>
      <w:r w:rsidR="00A52C5F" w:rsidRPr="249B2C69">
        <w:rPr>
          <w:noProof/>
          <w:lang w:val="en-IE"/>
        </w:rPr>
        <w:t xml:space="preserve"> to </w:t>
      </w:r>
      <w:r w:rsidR="00BD6268" w:rsidRPr="249B2C69">
        <w:rPr>
          <w:noProof/>
          <w:lang w:val="en-IE"/>
        </w:rPr>
        <w:t>le</w:t>
      </w:r>
      <w:r w:rsidR="00A52C5F" w:rsidRPr="249B2C69">
        <w:rPr>
          <w:noProof/>
          <w:lang w:val="en-IE"/>
        </w:rPr>
        <w:t>ave it</w:t>
      </w:r>
      <w:r w:rsidR="00BD6268" w:rsidRPr="249B2C69">
        <w:rPr>
          <w:noProof/>
          <w:lang w:val="en-IE"/>
        </w:rPr>
        <w:t xml:space="preserve"> to national law. 6% of respondents suggested other solutions</w:t>
      </w:r>
      <w:r w:rsidR="00A158E3" w:rsidRPr="249B2C69">
        <w:rPr>
          <w:noProof/>
          <w:lang w:val="en-IE"/>
        </w:rPr>
        <w:t xml:space="preserve">, e.g. </w:t>
      </w:r>
      <w:r w:rsidR="00BD6268" w:rsidRPr="249B2C69">
        <w:rPr>
          <w:noProof/>
          <w:lang w:val="en-IE"/>
        </w:rPr>
        <w:t>a few companies pointed out that many startups work remotely and might not have physical headquarters.</w:t>
      </w:r>
      <w:r w:rsidR="00D274D3" w:rsidRPr="249B2C69">
        <w:rPr>
          <w:noProof/>
          <w:lang w:val="en-IE"/>
        </w:rPr>
        <w:t xml:space="preserve"> Half of those who responded to this question provided further justifications. </w:t>
      </w:r>
      <w:r w:rsidR="001C7B51" w:rsidRPr="249B2C69">
        <w:rPr>
          <w:noProof/>
          <w:lang w:val="en-IE"/>
        </w:rPr>
        <w:t>Among those in favour of allowing seats in different Member States, many – in particular citizens (mainly founders/investors) and business associations – strongly stressed the importance to facilitate companies’ cross-border operations, support scaling and cross-border business models and reduce administrative burdens</w:t>
      </w:r>
      <w:r w:rsidR="001962D9" w:rsidRPr="249B2C69">
        <w:rPr>
          <w:noProof/>
          <w:lang w:val="en-IE"/>
        </w:rPr>
        <w:t xml:space="preserve">; </w:t>
      </w:r>
      <w:r w:rsidR="001C7B51" w:rsidRPr="249B2C69">
        <w:rPr>
          <w:noProof/>
          <w:lang w:val="en-IE"/>
        </w:rPr>
        <w:t>numerous companies and founders stressed that this was needed for modern, digital-first businesses with teams working remotely across Europe.</w:t>
      </w:r>
      <w:r w:rsidR="002D48E5" w:rsidRPr="249B2C69">
        <w:rPr>
          <w:noProof/>
          <w:lang w:val="en-IE"/>
        </w:rPr>
        <w:t xml:space="preserve"> A number of companies and founders </w:t>
      </w:r>
      <w:r w:rsidR="00EB61FC" w:rsidRPr="249B2C69">
        <w:rPr>
          <w:noProof/>
          <w:lang w:val="en-IE"/>
        </w:rPr>
        <w:t xml:space="preserve">also </w:t>
      </w:r>
      <w:r w:rsidR="002D48E5" w:rsidRPr="249B2C69">
        <w:rPr>
          <w:noProof/>
          <w:lang w:val="en-IE"/>
        </w:rPr>
        <w:t>referred to the US and Delaware C-corporation, where companies are registered in Delaware but hav</w:t>
      </w:r>
      <w:r w:rsidR="00416BBA" w:rsidRPr="249B2C69">
        <w:rPr>
          <w:noProof/>
          <w:lang w:val="en-IE"/>
        </w:rPr>
        <w:t>e</w:t>
      </w:r>
      <w:r w:rsidR="002D48E5" w:rsidRPr="249B2C69">
        <w:rPr>
          <w:noProof/>
          <w:lang w:val="en-IE"/>
        </w:rPr>
        <w:t xml:space="preserve"> their operational headquarters in another </w:t>
      </w:r>
      <w:r w:rsidR="00416BBA" w:rsidRPr="249B2C69">
        <w:rPr>
          <w:noProof/>
          <w:lang w:val="en-IE"/>
        </w:rPr>
        <w:t xml:space="preserve">US </w:t>
      </w:r>
      <w:r w:rsidR="002D48E5" w:rsidRPr="249B2C69">
        <w:rPr>
          <w:noProof/>
          <w:lang w:val="en-IE"/>
        </w:rPr>
        <w:t xml:space="preserve">state. Overall, a number of respondents seemed to understand the term head office in a broader sense than the place where the central management is located. Among those in favour of both </w:t>
      </w:r>
      <w:r w:rsidR="00416BBA" w:rsidRPr="249B2C69">
        <w:rPr>
          <w:noProof/>
          <w:lang w:val="en-IE"/>
        </w:rPr>
        <w:t xml:space="preserve">seats </w:t>
      </w:r>
      <w:r w:rsidR="002D48E5" w:rsidRPr="249B2C69">
        <w:rPr>
          <w:noProof/>
          <w:lang w:val="en-IE"/>
        </w:rPr>
        <w:t xml:space="preserve">in the same Member State, the most often mentioned reason was </w:t>
      </w:r>
      <w:r w:rsidR="00A65693" w:rsidRPr="249B2C69">
        <w:rPr>
          <w:noProof/>
          <w:lang w:val="en-IE"/>
        </w:rPr>
        <w:t xml:space="preserve">to </w:t>
      </w:r>
      <w:r w:rsidR="002D48E5" w:rsidRPr="249B2C69">
        <w:rPr>
          <w:noProof/>
          <w:lang w:val="en-IE"/>
        </w:rPr>
        <w:t>prevent forum shopping/regulatory arbitrage and circumvention of tax and social security rules</w:t>
      </w:r>
      <w:r w:rsidR="00A65693" w:rsidRPr="249B2C69">
        <w:rPr>
          <w:noProof/>
          <w:lang w:val="en-IE"/>
        </w:rPr>
        <w:t xml:space="preserve">; the second reason - </w:t>
      </w:r>
      <w:r w:rsidR="002D48E5" w:rsidRPr="249B2C69">
        <w:rPr>
          <w:noProof/>
          <w:lang w:val="en-IE"/>
        </w:rPr>
        <w:t>in particular among companies but also some</w:t>
      </w:r>
      <w:r w:rsidR="002D48E5" w:rsidRPr="249B2C69" w:rsidDel="0091554B">
        <w:rPr>
          <w:noProof/>
          <w:lang w:val="en-IE"/>
        </w:rPr>
        <w:t xml:space="preserve"> </w:t>
      </w:r>
      <w:r w:rsidR="002D48E5" w:rsidRPr="249B2C69">
        <w:rPr>
          <w:noProof/>
          <w:lang w:val="en-IE"/>
        </w:rPr>
        <w:t>citizens (mainly founders/investors), was to simplify steps and reduce complexity for companies.</w:t>
      </w:r>
    </w:p>
    <w:p w14:paraId="11407C01" w14:textId="77777777" w:rsidR="00783999" w:rsidRPr="007073AD" w:rsidRDefault="0051220B" w:rsidP="0005776A">
      <w:pPr>
        <w:spacing w:after="120"/>
        <w:rPr>
          <w:noProof/>
        </w:rPr>
      </w:pPr>
      <w:r w:rsidRPr="249B2C69">
        <w:rPr>
          <w:noProof/>
          <w:lang w:val="en-IE"/>
        </w:rPr>
        <w:t xml:space="preserve">As regards </w:t>
      </w:r>
      <w:r w:rsidRPr="249B2C69">
        <w:rPr>
          <w:b/>
          <w:noProof/>
          <w:lang w:val="en-IE"/>
        </w:rPr>
        <w:t>employee participation</w:t>
      </w:r>
      <w:r w:rsidRPr="249B2C69">
        <w:rPr>
          <w:noProof/>
          <w:lang w:val="en-IE"/>
        </w:rPr>
        <w:t xml:space="preserve">, </w:t>
      </w:r>
      <w:r w:rsidRPr="249B2C69">
        <w:rPr>
          <w:rFonts w:eastAsia="Times New Roman"/>
          <w:noProof/>
          <w:lang w:val="en-IE"/>
        </w:rPr>
        <w:t>i.e. representation of employees on boards of companies, in 28</w:t>
      </w:r>
      <w:r w:rsidRPr="249B2C69">
        <w:rPr>
          <w:rFonts w:eastAsia="Times New Roman"/>
          <w:noProof/>
          <w:vertAlign w:val="superscript"/>
          <w:lang w:val="en-IE"/>
        </w:rPr>
        <w:t>th</w:t>
      </w:r>
      <w:r w:rsidRPr="249B2C69">
        <w:rPr>
          <w:rFonts w:eastAsia="Times New Roman"/>
          <w:noProof/>
          <w:lang w:val="en-IE"/>
        </w:rPr>
        <w:t xml:space="preserve"> regime companies, </w:t>
      </w:r>
      <w:r w:rsidR="00A5322A" w:rsidRPr="249B2C69">
        <w:rPr>
          <w:noProof/>
          <w:lang w:val="en-IE"/>
        </w:rPr>
        <w:t>44% of respondents believed that the 28</w:t>
      </w:r>
      <w:r w:rsidR="00A5322A" w:rsidRPr="009E450A">
        <w:rPr>
          <w:noProof/>
          <w:vertAlign w:val="superscript"/>
          <w:lang w:val="en-IE"/>
        </w:rPr>
        <w:t>th</w:t>
      </w:r>
      <w:r w:rsidR="00A5322A" w:rsidRPr="249B2C69">
        <w:rPr>
          <w:noProof/>
          <w:lang w:val="en-IE"/>
        </w:rPr>
        <w:t xml:space="preserve"> regime company should be subject to existing national rules (where those exist) on employee participation in the same way as other companies registered in the same Member States, while 36% had the opposite opinion and the remaining 20% had no opinion. All responding trade unions and the majority of public authorities thought that 28</w:t>
      </w:r>
      <w:r w:rsidR="00A5322A" w:rsidRPr="009E450A">
        <w:rPr>
          <w:noProof/>
          <w:vertAlign w:val="superscript"/>
          <w:lang w:val="en-IE"/>
        </w:rPr>
        <w:t>th</w:t>
      </w:r>
      <w:r w:rsidR="00A5322A" w:rsidRPr="249B2C69">
        <w:rPr>
          <w:noProof/>
          <w:lang w:val="en-IE"/>
        </w:rPr>
        <w:t xml:space="preserve"> regime companies should be subject to national employee participation rules</w:t>
      </w:r>
      <w:r w:rsidR="005F33ED" w:rsidRPr="249B2C69">
        <w:rPr>
          <w:noProof/>
          <w:lang w:val="en-IE"/>
        </w:rPr>
        <w:t xml:space="preserve">, and some </w:t>
      </w:r>
      <w:r w:rsidR="00754C9C" w:rsidRPr="249B2C69">
        <w:rPr>
          <w:noProof/>
          <w:lang w:val="en-IE"/>
        </w:rPr>
        <w:t xml:space="preserve">trade unions </w:t>
      </w:r>
      <w:r w:rsidR="005F33ED" w:rsidRPr="249B2C69">
        <w:rPr>
          <w:noProof/>
          <w:lang w:val="en-IE"/>
        </w:rPr>
        <w:t xml:space="preserve">stressed that </w:t>
      </w:r>
      <w:r w:rsidR="0086223C" w:rsidRPr="249B2C69">
        <w:rPr>
          <w:noProof/>
          <w:lang w:val="en-IE"/>
        </w:rPr>
        <w:t xml:space="preserve">doing this </w:t>
      </w:r>
      <w:r w:rsidR="005F33ED" w:rsidRPr="249B2C69">
        <w:rPr>
          <w:noProof/>
          <w:lang w:val="en-IE"/>
        </w:rPr>
        <w:t>would undermine safeguards at national level and weaken the social standards and acquired employee rights</w:t>
      </w:r>
      <w:r w:rsidR="00A5322A" w:rsidRPr="249B2C69">
        <w:rPr>
          <w:noProof/>
          <w:lang w:val="en-IE"/>
        </w:rPr>
        <w:t xml:space="preserve">. </w:t>
      </w:r>
      <w:r w:rsidR="0003446C" w:rsidRPr="249B2C69">
        <w:rPr>
          <w:noProof/>
          <w:lang w:val="en-IE"/>
        </w:rPr>
        <w:t xml:space="preserve">Also, most of </w:t>
      </w:r>
      <w:r w:rsidR="0003446C" w:rsidRPr="249B2C69">
        <w:rPr>
          <w:rFonts w:eastAsia="Times New Roman"/>
          <w:noProof/>
          <w:lang w:val="en-IE"/>
        </w:rPr>
        <w:t>the replying notary organisations stressed that the 28</w:t>
      </w:r>
      <w:r w:rsidR="0003446C" w:rsidRPr="249B2C69">
        <w:rPr>
          <w:rFonts w:eastAsia="Times New Roman"/>
          <w:noProof/>
          <w:vertAlign w:val="superscript"/>
          <w:lang w:val="en-IE"/>
        </w:rPr>
        <w:t>th</w:t>
      </w:r>
      <w:r w:rsidR="0003446C" w:rsidRPr="249B2C69">
        <w:rPr>
          <w:rFonts w:eastAsia="Times New Roman"/>
          <w:noProof/>
          <w:lang w:val="en-IE"/>
        </w:rPr>
        <w:t xml:space="preserve"> regime should not undermine national labour law. </w:t>
      </w:r>
      <w:r w:rsidR="006A37A7" w:rsidRPr="249B2C69">
        <w:rPr>
          <w:rFonts w:eastAsia="Times New Roman"/>
          <w:noProof/>
          <w:lang w:val="en-IE"/>
        </w:rPr>
        <w:t xml:space="preserve">Most of business associations who had an opinion was </w:t>
      </w:r>
      <w:r w:rsidR="006A37A7" w:rsidRPr="249B2C69">
        <w:rPr>
          <w:noProof/>
          <w:lang w:val="en-IE"/>
        </w:rPr>
        <w:t xml:space="preserve">in favour </w:t>
      </w:r>
      <w:r w:rsidR="00C2440C" w:rsidRPr="249B2C69">
        <w:rPr>
          <w:noProof/>
          <w:lang w:val="en-IE"/>
        </w:rPr>
        <w:t>of applying national rules</w:t>
      </w:r>
      <w:r w:rsidR="002A4C1E" w:rsidRPr="249B2C69">
        <w:rPr>
          <w:noProof/>
          <w:lang w:val="en-IE"/>
        </w:rPr>
        <w:t>, including</w:t>
      </w:r>
      <w:r w:rsidR="00C2440C" w:rsidRPr="249B2C69">
        <w:rPr>
          <w:noProof/>
          <w:lang w:val="en-IE"/>
        </w:rPr>
        <w:t xml:space="preserve"> </w:t>
      </w:r>
      <w:r w:rsidR="006A37A7" w:rsidRPr="249B2C69">
        <w:rPr>
          <w:noProof/>
          <w:lang w:val="en-IE"/>
        </w:rPr>
        <w:t xml:space="preserve">given difficult negotiations in the past, and to respect national competences. </w:t>
      </w:r>
    </w:p>
    <w:p w14:paraId="2DE7EA07" w14:textId="6962BE30" w:rsidR="0051220B" w:rsidRDefault="003C6CB9" w:rsidP="0005776A">
      <w:pPr>
        <w:spacing w:after="120"/>
        <w:rPr>
          <w:noProof/>
        </w:rPr>
      </w:pPr>
      <w:r w:rsidRPr="007073AD">
        <w:rPr>
          <w:noProof/>
        </w:rPr>
        <w:t>Only slightly more among companies and</w:t>
      </w:r>
      <w:r w:rsidRPr="007073AD" w:rsidDel="0091554B">
        <w:rPr>
          <w:noProof/>
        </w:rPr>
        <w:t xml:space="preserve"> </w:t>
      </w:r>
      <w:r w:rsidRPr="007073AD">
        <w:rPr>
          <w:noProof/>
        </w:rPr>
        <w:t xml:space="preserve">citizens (mostly founders/investors) </w:t>
      </w:r>
      <w:r w:rsidR="00035199" w:rsidRPr="007073AD">
        <w:rPr>
          <w:noProof/>
        </w:rPr>
        <w:t xml:space="preserve">were </w:t>
      </w:r>
      <w:r w:rsidRPr="007073AD">
        <w:rPr>
          <w:noProof/>
        </w:rPr>
        <w:t>in favour of applying national employee participation rules as compared to those against</w:t>
      </w:r>
      <w:r w:rsidR="00DB28E4" w:rsidRPr="007073AD">
        <w:rPr>
          <w:noProof/>
        </w:rPr>
        <w:t>.</w:t>
      </w:r>
      <w:r w:rsidR="001112CA" w:rsidRPr="007073AD">
        <w:rPr>
          <w:noProof/>
        </w:rPr>
        <w:t xml:space="preserve"> </w:t>
      </w:r>
      <w:r w:rsidR="00391633" w:rsidRPr="007073AD">
        <w:rPr>
          <w:noProof/>
        </w:rPr>
        <w:t xml:space="preserve">However, it is difficult to draw clear conclusions from these results as some of the replies </w:t>
      </w:r>
      <w:r w:rsidR="00391633" w:rsidRPr="001273A2">
        <w:rPr>
          <w:rFonts w:eastAsia="Times New Roman"/>
          <w:noProof/>
        </w:rPr>
        <w:t xml:space="preserve">focused on employee share ownership </w:t>
      </w:r>
      <w:r w:rsidR="00391633">
        <w:rPr>
          <w:rFonts w:eastAsia="Times New Roman"/>
          <w:noProof/>
        </w:rPr>
        <w:t>and not employee participation in the boards.</w:t>
      </w:r>
      <w:r w:rsidR="00391633" w:rsidRPr="007073AD">
        <w:rPr>
          <w:noProof/>
        </w:rPr>
        <w:t xml:space="preserve"> </w:t>
      </w:r>
      <w:r w:rsidR="00774330" w:rsidRPr="007073AD">
        <w:rPr>
          <w:noProof/>
        </w:rPr>
        <w:t xml:space="preserve">Most of those in favour who provided justifications, mentioned that it was important to respect the different national </w:t>
      </w:r>
      <w:r w:rsidR="004D3C62" w:rsidRPr="007073AD">
        <w:rPr>
          <w:noProof/>
        </w:rPr>
        <w:t xml:space="preserve">employee participation </w:t>
      </w:r>
      <w:r w:rsidR="00774330" w:rsidRPr="007073AD">
        <w:rPr>
          <w:noProof/>
        </w:rPr>
        <w:t xml:space="preserve">laws and some </w:t>
      </w:r>
      <w:r w:rsidR="00F85EDF" w:rsidRPr="007073AD">
        <w:rPr>
          <w:noProof/>
        </w:rPr>
        <w:t xml:space="preserve">- </w:t>
      </w:r>
      <w:r w:rsidR="00774330" w:rsidRPr="007073AD">
        <w:rPr>
          <w:noProof/>
        </w:rPr>
        <w:t>that the 28</w:t>
      </w:r>
      <w:r w:rsidR="00774330" w:rsidRPr="009E450A">
        <w:rPr>
          <w:noProof/>
          <w:vertAlign w:val="superscript"/>
        </w:rPr>
        <w:t>th</w:t>
      </w:r>
      <w:r w:rsidR="00774330" w:rsidRPr="007073AD">
        <w:rPr>
          <w:noProof/>
        </w:rPr>
        <w:t xml:space="preserve"> regime should not give unfair advantages over domestic businesses.</w:t>
      </w:r>
      <w:r w:rsidR="0022428B" w:rsidRPr="007073AD">
        <w:rPr>
          <w:noProof/>
        </w:rPr>
        <w:t xml:space="preserve"> </w:t>
      </w:r>
      <w:r w:rsidR="00915956" w:rsidRPr="007073AD">
        <w:rPr>
          <w:noProof/>
        </w:rPr>
        <w:t xml:space="preserve">Many of those against </w:t>
      </w:r>
      <w:r w:rsidR="00915956" w:rsidRPr="001273A2">
        <w:rPr>
          <w:rFonts w:eastAsia="Times New Roman"/>
          <w:noProof/>
        </w:rPr>
        <w:t>a</w:t>
      </w:r>
      <w:r w:rsidR="00915956">
        <w:rPr>
          <w:rFonts w:eastAsia="Times New Roman"/>
          <w:noProof/>
        </w:rPr>
        <w:t xml:space="preserve">pplying </w:t>
      </w:r>
      <w:r w:rsidR="00915956" w:rsidRPr="001273A2">
        <w:rPr>
          <w:rFonts w:eastAsia="Times New Roman"/>
          <w:noProof/>
        </w:rPr>
        <w:t xml:space="preserve">national rules </w:t>
      </w:r>
      <w:r w:rsidR="005D2AA8">
        <w:rPr>
          <w:rFonts w:eastAsia="Times New Roman"/>
          <w:noProof/>
        </w:rPr>
        <w:t xml:space="preserve">argued that this </w:t>
      </w:r>
      <w:r w:rsidR="00915956" w:rsidRPr="001273A2">
        <w:rPr>
          <w:rFonts w:eastAsia="Times New Roman"/>
          <w:noProof/>
        </w:rPr>
        <w:t>would lead to fragmentation</w:t>
      </w:r>
      <w:r w:rsidR="00915956">
        <w:rPr>
          <w:rFonts w:eastAsia="Times New Roman"/>
          <w:noProof/>
        </w:rPr>
        <w:t>,</w:t>
      </w:r>
      <w:r w:rsidR="00915956" w:rsidRPr="001273A2">
        <w:rPr>
          <w:rFonts w:eastAsia="Times New Roman"/>
          <w:noProof/>
        </w:rPr>
        <w:t xml:space="preserve"> legal uncertainty and burdens for companies</w:t>
      </w:r>
      <w:r w:rsidR="00BD1116">
        <w:rPr>
          <w:rFonts w:eastAsia="Times New Roman"/>
          <w:noProof/>
        </w:rPr>
        <w:t xml:space="preserve"> and many thought that </w:t>
      </w:r>
      <w:r w:rsidR="00534CE9">
        <w:rPr>
          <w:rFonts w:eastAsia="Times New Roman"/>
          <w:noProof/>
        </w:rPr>
        <w:t xml:space="preserve">also employee rules should be </w:t>
      </w:r>
      <w:r w:rsidR="00BD1116" w:rsidRPr="001273A2">
        <w:rPr>
          <w:rFonts w:eastAsia="Times New Roman"/>
          <w:noProof/>
        </w:rPr>
        <w:t xml:space="preserve">harmonised </w:t>
      </w:r>
      <w:r w:rsidR="00BD1116">
        <w:rPr>
          <w:rFonts w:eastAsia="Times New Roman"/>
          <w:noProof/>
        </w:rPr>
        <w:t>r</w:t>
      </w:r>
      <w:r w:rsidR="00BD1116" w:rsidRPr="001273A2">
        <w:rPr>
          <w:rFonts w:eastAsia="Times New Roman"/>
          <w:noProof/>
        </w:rPr>
        <w:t xml:space="preserve">ules to make it simpler for </w:t>
      </w:r>
      <w:r w:rsidR="00534CE9">
        <w:rPr>
          <w:rFonts w:eastAsia="Times New Roman"/>
          <w:noProof/>
        </w:rPr>
        <w:t>28</w:t>
      </w:r>
      <w:r w:rsidR="00534CE9" w:rsidRPr="00534CE9">
        <w:rPr>
          <w:rFonts w:eastAsia="Times New Roman"/>
          <w:noProof/>
          <w:vertAlign w:val="superscript"/>
        </w:rPr>
        <w:t>th</w:t>
      </w:r>
      <w:r w:rsidR="00534CE9">
        <w:rPr>
          <w:rFonts w:eastAsia="Times New Roman"/>
          <w:noProof/>
        </w:rPr>
        <w:t xml:space="preserve"> regime </w:t>
      </w:r>
      <w:r w:rsidR="00BD1116" w:rsidRPr="001273A2">
        <w:rPr>
          <w:rFonts w:eastAsia="Times New Roman"/>
          <w:noProof/>
        </w:rPr>
        <w:t>companies.</w:t>
      </w:r>
      <w:r w:rsidR="00506E7B">
        <w:rPr>
          <w:rFonts w:eastAsia="Times New Roman"/>
          <w:noProof/>
        </w:rPr>
        <w:t xml:space="preserve"> Those </w:t>
      </w:r>
      <w:r w:rsidR="00506E7B" w:rsidRPr="001273A2">
        <w:rPr>
          <w:rFonts w:eastAsia="Times New Roman"/>
          <w:noProof/>
        </w:rPr>
        <w:t xml:space="preserve">who replied in more detail, explained that </w:t>
      </w:r>
      <w:r w:rsidR="00AC7767">
        <w:rPr>
          <w:rFonts w:eastAsia="Times New Roman"/>
          <w:noProof/>
        </w:rPr>
        <w:t xml:space="preserve">such </w:t>
      </w:r>
      <w:r w:rsidR="00506E7B" w:rsidRPr="001273A2">
        <w:rPr>
          <w:rFonts w:eastAsia="Times New Roman"/>
          <w:noProof/>
        </w:rPr>
        <w:t xml:space="preserve">employee </w:t>
      </w:r>
      <w:r w:rsidR="00E906D5">
        <w:rPr>
          <w:rFonts w:eastAsia="Times New Roman"/>
          <w:noProof/>
        </w:rPr>
        <w:t xml:space="preserve">participation </w:t>
      </w:r>
      <w:r w:rsidR="00506E7B">
        <w:rPr>
          <w:rFonts w:eastAsia="Times New Roman"/>
          <w:noProof/>
        </w:rPr>
        <w:t xml:space="preserve">rules </w:t>
      </w:r>
      <w:r w:rsidR="00506E7B" w:rsidRPr="001273A2">
        <w:rPr>
          <w:rFonts w:eastAsia="Times New Roman"/>
          <w:noProof/>
        </w:rPr>
        <w:t>for 28</w:t>
      </w:r>
      <w:r w:rsidR="00506E7B" w:rsidRPr="009E450A">
        <w:rPr>
          <w:rFonts w:eastAsia="Times New Roman"/>
          <w:noProof/>
          <w:vertAlign w:val="superscript"/>
        </w:rPr>
        <w:t>th</w:t>
      </w:r>
      <w:r w:rsidR="00506E7B" w:rsidRPr="001273A2">
        <w:rPr>
          <w:rFonts w:eastAsia="Times New Roman"/>
          <w:noProof/>
        </w:rPr>
        <w:t xml:space="preserve"> regime companies </w:t>
      </w:r>
      <w:r w:rsidR="00783999">
        <w:rPr>
          <w:rFonts w:eastAsia="Times New Roman"/>
          <w:noProof/>
        </w:rPr>
        <w:t>should</w:t>
      </w:r>
      <w:r w:rsidR="00506E7B">
        <w:rPr>
          <w:rFonts w:eastAsia="Times New Roman"/>
          <w:noProof/>
        </w:rPr>
        <w:t xml:space="preserve"> </w:t>
      </w:r>
      <w:r w:rsidR="00506E7B" w:rsidRPr="001273A2">
        <w:rPr>
          <w:rFonts w:eastAsia="Times New Roman"/>
          <w:noProof/>
        </w:rPr>
        <w:t xml:space="preserve">ensure fair treatment of employees </w:t>
      </w:r>
      <w:r w:rsidR="008D4BB5">
        <w:rPr>
          <w:rFonts w:eastAsia="Times New Roman"/>
          <w:noProof/>
        </w:rPr>
        <w:t xml:space="preserve">but also </w:t>
      </w:r>
      <w:r w:rsidR="00506E7B" w:rsidRPr="001273A2">
        <w:rPr>
          <w:rFonts w:eastAsia="Times New Roman"/>
          <w:noProof/>
        </w:rPr>
        <w:t xml:space="preserve">respond to the needs of innovative companies and </w:t>
      </w:r>
      <w:r w:rsidR="00A82B95">
        <w:rPr>
          <w:rFonts w:eastAsia="Times New Roman"/>
          <w:noProof/>
        </w:rPr>
        <w:t xml:space="preserve">therefore </w:t>
      </w:r>
      <w:r w:rsidR="00506E7B" w:rsidRPr="001273A2">
        <w:rPr>
          <w:rFonts w:eastAsia="Times New Roman"/>
          <w:noProof/>
        </w:rPr>
        <w:t>avoid administrative burdens</w:t>
      </w:r>
      <w:r w:rsidR="00783999">
        <w:rPr>
          <w:rFonts w:eastAsia="Times New Roman"/>
          <w:noProof/>
        </w:rPr>
        <w:t xml:space="preserve"> and</w:t>
      </w:r>
      <w:r w:rsidR="00506E7B" w:rsidRPr="00B14103">
        <w:rPr>
          <w:rFonts w:eastAsia="Times New Roman"/>
          <w:noProof/>
        </w:rPr>
        <w:t xml:space="preserve"> </w:t>
      </w:r>
      <w:r w:rsidR="00783999">
        <w:rPr>
          <w:rFonts w:eastAsia="Times New Roman"/>
          <w:noProof/>
        </w:rPr>
        <w:t>s</w:t>
      </w:r>
      <w:r w:rsidR="00506E7B">
        <w:rPr>
          <w:rFonts w:eastAsia="Times New Roman"/>
          <w:noProof/>
        </w:rPr>
        <w:t>ome</w:t>
      </w:r>
      <w:r w:rsidR="00506E7B" w:rsidRPr="001273A2">
        <w:rPr>
          <w:rFonts w:eastAsia="Times New Roman"/>
          <w:noProof/>
        </w:rPr>
        <w:t xml:space="preserve"> mentioned exemptions from employee participation </w:t>
      </w:r>
      <w:r w:rsidR="00506E7B">
        <w:rPr>
          <w:rFonts w:eastAsia="Times New Roman"/>
          <w:noProof/>
        </w:rPr>
        <w:t xml:space="preserve">for </w:t>
      </w:r>
      <w:r w:rsidR="00506E7B" w:rsidRPr="009C718E">
        <w:rPr>
          <w:rFonts w:eastAsia="Times New Roman"/>
          <w:noProof/>
        </w:rPr>
        <w:t>small and fast-growing companies.</w:t>
      </w:r>
      <w:r w:rsidR="00621EE5">
        <w:rPr>
          <w:rFonts w:eastAsia="Times New Roman"/>
          <w:noProof/>
        </w:rPr>
        <w:t xml:space="preserve"> </w:t>
      </w:r>
    </w:p>
    <w:p w14:paraId="1E9645F1" w14:textId="4F312679" w:rsidR="00013669" w:rsidRPr="007073AD" w:rsidRDefault="00B82631" w:rsidP="00013669">
      <w:pPr>
        <w:spacing w:after="120"/>
        <w:rPr>
          <w:noProof/>
        </w:rPr>
      </w:pPr>
      <w:r w:rsidRPr="249B2C69">
        <w:rPr>
          <w:noProof/>
          <w:lang w:val="en-IE"/>
        </w:rPr>
        <w:t xml:space="preserve">Most respondents (70%) were in favour of allowing </w:t>
      </w:r>
      <w:r w:rsidRPr="249B2C69">
        <w:rPr>
          <w:b/>
          <w:noProof/>
          <w:lang w:val="en-IE"/>
        </w:rPr>
        <w:t>28</w:t>
      </w:r>
      <w:r w:rsidRPr="009E450A">
        <w:rPr>
          <w:b/>
          <w:noProof/>
          <w:vertAlign w:val="superscript"/>
          <w:lang w:val="en-IE"/>
        </w:rPr>
        <w:t>th</w:t>
      </w:r>
      <w:r w:rsidRPr="249B2C69">
        <w:rPr>
          <w:b/>
          <w:noProof/>
          <w:lang w:val="en-IE"/>
        </w:rPr>
        <w:t xml:space="preserve"> regime companies to carry out cross-border conversions, divisions or mergers </w:t>
      </w:r>
      <w:r w:rsidRPr="249B2C69">
        <w:rPr>
          <w:noProof/>
          <w:lang w:val="en-IE"/>
        </w:rPr>
        <w:t>in accordance with existing rules on companies’ cross-border mobility</w:t>
      </w:r>
      <w:r w:rsidR="007A7DCE" w:rsidRPr="249B2C69">
        <w:rPr>
          <w:noProof/>
          <w:lang w:val="en-IE"/>
        </w:rPr>
        <w:t xml:space="preserve"> in</w:t>
      </w:r>
      <w:r w:rsidRPr="249B2C69">
        <w:rPr>
          <w:noProof/>
          <w:lang w:val="en-IE"/>
        </w:rPr>
        <w:t xml:space="preserve"> Directive (EU) 2019/2121</w:t>
      </w:r>
      <w:r w:rsidR="0070059F" w:rsidRPr="249B2C69">
        <w:rPr>
          <w:noProof/>
          <w:lang w:val="en-IE"/>
        </w:rPr>
        <w:t xml:space="preserve"> (reflected </w:t>
      </w:r>
      <w:r w:rsidR="005635B7" w:rsidRPr="249B2C69">
        <w:rPr>
          <w:noProof/>
          <w:lang w:val="en-IE"/>
        </w:rPr>
        <w:t>across different categories of respondents</w:t>
      </w:r>
      <w:r w:rsidR="0070059F" w:rsidRPr="249B2C69">
        <w:rPr>
          <w:noProof/>
          <w:lang w:val="en-IE"/>
        </w:rPr>
        <w:t>)</w:t>
      </w:r>
      <w:r w:rsidRPr="249B2C69">
        <w:rPr>
          <w:noProof/>
          <w:lang w:val="en-IE"/>
        </w:rPr>
        <w:t>, while 3% opposed</w:t>
      </w:r>
      <w:r w:rsidR="007A7DCE" w:rsidRPr="249B2C69">
        <w:rPr>
          <w:noProof/>
          <w:lang w:val="en-IE"/>
        </w:rPr>
        <w:t xml:space="preserve">, and </w:t>
      </w:r>
      <w:r w:rsidRPr="249B2C69">
        <w:rPr>
          <w:noProof/>
          <w:lang w:val="en-IE"/>
        </w:rPr>
        <w:t>26% had no opinion.</w:t>
      </w:r>
      <w:r w:rsidR="00C80094" w:rsidRPr="249B2C69">
        <w:rPr>
          <w:noProof/>
          <w:lang w:val="en-IE"/>
        </w:rPr>
        <w:t xml:space="preserve"> Respondents in favour who provided additional comments – in particular business associations and some companies - stressed that applying th</w:t>
      </w:r>
      <w:r w:rsidR="00D64B87" w:rsidRPr="249B2C69">
        <w:rPr>
          <w:noProof/>
          <w:lang w:val="en-IE"/>
        </w:rPr>
        <w:t>is</w:t>
      </w:r>
      <w:r w:rsidR="00C80094" w:rsidRPr="249B2C69">
        <w:rPr>
          <w:noProof/>
          <w:lang w:val="en-IE"/>
        </w:rPr>
        <w:t xml:space="preserve"> Directive would ensure legal certainty and safeguards for stakeholders including employees.</w:t>
      </w:r>
      <w:r w:rsidR="008265F3" w:rsidRPr="249B2C69">
        <w:rPr>
          <w:noProof/>
          <w:lang w:val="en-IE"/>
        </w:rPr>
        <w:t xml:space="preserve"> A few trade unions mentioned that corporate mobility across borders can be positive, provided it does not come at the expense of workers’ rights.</w:t>
      </w:r>
      <w:r w:rsidR="00013669" w:rsidRPr="249B2C69">
        <w:rPr>
          <w:noProof/>
          <w:lang w:val="en-IE"/>
        </w:rPr>
        <w:t xml:space="preserve"> A few respondents against </w:t>
      </w:r>
      <w:r w:rsidR="00D26EC1" w:rsidRPr="249B2C69">
        <w:rPr>
          <w:noProof/>
          <w:lang w:val="en-IE"/>
        </w:rPr>
        <w:t xml:space="preserve">applying </w:t>
      </w:r>
      <w:r w:rsidR="00013669" w:rsidRPr="249B2C69">
        <w:rPr>
          <w:noProof/>
          <w:lang w:val="en-IE"/>
        </w:rPr>
        <w:t xml:space="preserve">the Directive </w:t>
      </w:r>
      <w:r w:rsidR="00D26EC1" w:rsidRPr="249B2C69">
        <w:rPr>
          <w:noProof/>
          <w:lang w:val="en-IE"/>
        </w:rPr>
        <w:t xml:space="preserve">said </w:t>
      </w:r>
      <w:r w:rsidR="00013669" w:rsidRPr="249B2C69">
        <w:rPr>
          <w:noProof/>
          <w:lang w:val="en-IE"/>
        </w:rPr>
        <w:t>that rules should be even simpler for 28</w:t>
      </w:r>
      <w:r w:rsidR="00013669" w:rsidRPr="009E450A">
        <w:rPr>
          <w:noProof/>
          <w:vertAlign w:val="superscript"/>
          <w:lang w:val="en-IE"/>
        </w:rPr>
        <w:t>th</w:t>
      </w:r>
      <w:r w:rsidR="00013669" w:rsidRPr="249B2C69">
        <w:rPr>
          <w:noProof/>
          <w:lang w:val="en-IE"/>
        </w:rPr>
        <w:t xml:space="preserve"> regime companies.</w:t>
      </w:r>
    </w:p>
    <w:p w14:paraId="7D063FCB" w14:textId="49589D10" w:rsidR="00BE3C09" w:rsidRPr="007073AD" w:rsidRDefault="005D6765" w:rsidP="00013669">
      <w:pPr>
        <w:spacing w:after="120"/>
        <w:rPr>
          <w:rFonts w:eastAsia="Times New Roman"/>
          <w:noProof/>
          <w:lang w:val="en-IE"/>
        </w:rPr>
      </w:pPr>
      <w:r w:rsidRPr="249B2C69">
        <w:rPr>
          <w:rFonts w:eastAsia="Times New Roman"/>
          <w:noProof/>
          <w:lang w:val="en-IE"/>
        </w:rPr>
        <w:t xml:space="preserve">84% of respondents considered that all </w:t>
      </w:r>
      <w:r w:rsidRPr="249B2C69">
        <w:rPr>
          <w:rFonts w:eastAsia="Times New Roman"/>
          <w:b/>
          <w:noProof/>
          <w:lang w:val="en-IE"/>
        </w:rPr>
        <w:t>tools and processes for the 28</w:t>
      </w:r>
      <w:r w:rsidRPr="249B2C69">
        <w:rPr>
          <w:rFonts w:eastAsia="Times New Roman"/>
          <w:b/>
          <w:noProof/>
          <w:vertAlign w:val="superscript"/>
          <w:lang w:val="en-IE"/>
        </w:rPr>
        <w:t>th</w:t>
      </w:r>
      <w:r w:rsidRPr="249B2C69">
        <w:rPr>
          <w:rFonts w:eastAsia="Times New Roman"/>
          <w:b/>
          <w:noProof/>
          <w:lang w:val="en-IE"/>
        </w:rPr>
        <w:t xml:space="preserve"> regime companies should be fully digital</w:t>
      </w:r>
      <w:r w:rsidRPr="249B2C69">
        <w:rPr>
          <w:rFonts w:eastAsia="Times New Roman"/>
          <w:noProof/>
          <w:lang w:val="en-IE"/>
        </w:rPr>
        <w:t>, without paper-based alternatives; 12% preferred online procedures with a parallel paper-based/offline option, and 4% opted for primarily digital procedures but allowing for some exceptions. The preference for fully digital-only procedures was widely shared across stakeholder groups, with 89% of companies and citizens (mainly founders and investors),</w:t>
      </w:r>
      <w:r w:rsidRPr="249B2C69" w:rsidDel="021B509B">
        <w:rPr>
          <w:rFonts w:eastAsia="Times New Roman"/>
          <w:noProof/>
          <w:lang w:val="en-IE"/>
        </w:rPr>
        <w:t xml:space="preserve"> </w:t>
      </w:r>
      <w:r w:rsidRPr="249B2C69">
        <w:rPr>
          <w:rFonts w:eastAsia="Times New Roman"/>
          <w:noProof/>
          <w:lang w:val="en-IE"/>
        </w:rPr>
        <w:t xml:space="preserve">72% of business associations and 75% of public authorities </w:t>
      </w:r>
      <w:r w:rsidRPr="249B2C69" w:rsidDel="021B509B">
        <w:rPr>
          <w:rFonts w:eastAsia="Times New Roman"/>
          <w:noProof/>
          <w:lang w:val="en-IE"/>
        </w:rPr>
        <w:t>in favour of</w:t>
      </w:r>
      <w:r w:rsidRPr="249B2C69">
        <w:rPr>
          <w:rFonts w:eastAsia="Times New Roman"/>
          <w:noProof/>
          <w:lang w:val="en-IE"/>
        </w:rPr>
        <w:t xml:space="preserve"> digital-only. In contrast, 71% of trade unions asked for online procedures with paper alternatives and </w:t>
      </w:r>
      <w:r w:rsidR="00CC5F69" w:rsidRPr="249B2C69">
        <w:rPr>
          <w:rFonts w:eastAsia="Times New Roman"/>
          <w:noProof/>
          <w:lang w:val="en-IE"/>
        </w:rPr>
        <w:t xml:space="preserve">a notarial organisation - </w:t>
      </w:r>
      <w:r w:rsidRPr="249B2C69">
        <w:rPr>
          <w:rFonts w:eastAsia="Times New Roman"/>
          <w:noProof/>
          <w:lang w:val="en-IE"/>
        </w:rPr>
        <w:t>for primarily digital procedures with some exceptions. Respondents emphasised the need for digital procedures covering the entire company lifecycle, including setting up, operating or closing and investment processes.</w:t>
      </w:r>
    </w:p>
    <w:p w14:paraId="1A92657C" w14:textId="23214D2D" w:rsidR="001123FF" w:rsidRDefault="00072D2C" w:rsidP="00013669">
      <w:pPr>
        <w:spacing w:after="120"/>
        <w:rPr>
          <w:rFonts w:eastAsia="Calibri"/>
          <w:b/>
          <w:bCs/>
          <w:i/>
          <w:iCs/>
          <w:noProof/>
        </w:rPr>
      </w:pPr>
      <w:r>
        <w:rPr>
          <w:rFonts w:eastAsia="Calibri"/>
          <w:b/>
          <w:bCs/>
          <w:i/>
          <w:iCs/>
          <w:noProof/>
        </w:rPr>
        <w:t xml:space="preserve">Setting up </w:t>
      </w:r>
      <w:r w:rsidR="006414F4">
        <w:rPr>
          <w:rFonts w:eastAsia="Calibri"/>
          <w:b/>
          <w:bCs/>
          <w:i/>
          <w:iCs/>
          <w:noProof/>
        </w:rPr>
        <w:t xml:space="preserve">of </w:t>
      </w:r>
      <w:r>
        <w:rPr>
          <w:rFonts w:eastAsia="Calibri"/>
          <w:b/>
          <w:bCs/>
          <w:i/>
          <w:iCs/>
          <w:noProof/>
        </w:rPr>
        <w:t>companies</w:t>
      </w:r>
    </w:p>
    <w:p w14:paraId="3403E3F3" w14:textId="0CB30920" w:rsidR="00414B71" w:rsidRDefault="005D0103" w:rsidP="000A0753">
      <w:pPr>
        <w:spacing w:after="120"/>
        <w:rPr>
          <w:rFonts w:eastAsia="Calibri"/>
          <w:b/>
          <w:i/>
          <w:noProof/>
          <w:lang w:val="en-IE"/>
        </w:rPr>
      </w:pPr>
      <w:r w:rsidRPr="249B2C69">
        <w:rPr>
          <w:noProof/>
          <w:lang w:val="en-IE"/>
        </w:rPr>
        <w:t xml:space="preserve">In addition to views expressed related to </w:t>
      </w:r>
      <w:r w:rsidR="00747982" w:rsidRPr="249B2C69">
        <w:rPr>
          <w:noProof/>
          <w:lang w:val="en-IE"/>
        </w:rPr>
        <w:t xml:space="preserve">the need for legal advice due to complexity of different procedures to set up companies in other Member States and insufficient information about such procedures mentioned already above, </w:t>
      </w:r>
      <w:r w:rsidR="00414B71" w:rsidRPr="249B2C69">
        <w:rPr>
          <w:noProof/>
          <w:lang w:val="en-IE"/>
        </w:rPr>
        <w:t xml:space="preserve">81% of respondents assessed the </w:t>
      </w:r>
      <w:r w:rsidR="00414B71" w:rsidRPr="249B2C69">
        <w:rPr>
          <w:b/>
          <w:noProof/>
          <w:lang w:val="en-IE"/>
        </w:rPr>
        <w:t>insufficient availability of digital tools and procedures related to setting up of companies</w:t>
      </w:r>
      <w:r w:rsidR="00414B71" w:rsidRPr="249B2C69">
        <w:rPr>
          <w:noProof/>
          <w:lang w:val="en-IE"/>
        </w:rPr>
        <w:t xml:space="preserve"> </w:t>
      </w:r>
      <w:r w:rsidR="008561A5" w:rsidRPr="249B2C69">
        <w:rPr>
          <w:noProof/>
          <w:lang w:val="en-IE"/>
        </w:rPr>
        <w:t xml:space="preserve">as being a problem to a large or very large extent.  </w:t>
      </w:r>
      <w:r w:rsidR="00043862" w:rsidRPr="249B2C69">
        <w:rPr>
          <w:noProof/>
          <w:lang w:val="en-IE"/>
        </w:rPr>
        <w:t xml:space="preserve">More than 86% considered that the </w:t>
      </w:r>
      <w:r w:rsidR="00043862" w:rsidRPr="249B2C69">
        <w:rPr>
          <w:b/>
          <w:noProof/>
          <w:lang w:val="en-IE"/>
        </w:rPr>
        <w:t>hassle costs</w:t>
      </w:r>
      <w:r w:rsidR="00043862" w:rsidRPr="249B2C69">
        <w:rPr>
          <w:noProof/>
          <w:lang w:val="en-IE"/>
        </w:rPr>
        <w:t xml:space="preserve"> (such as unnecessary waiting time, delays) related to the setting up a company were high and almost 68% - very high. 78% considered the </w:t>
      </w:r>
      <w:r w:rsidR="00043862" w:rsidRPr="249B2C69">
        <w:rPr>
          <w:b/>
          <w:noProof/>
          <w:lang w:val="en-IE"/>
        </w:rPr>
        <w:t>administrative burden</w:t>
      </w:r>
      <w:r w:rsidR="00043862" w:rsidRPr="249B2C69">
        <w:rPr>
          <w:noProof/>
          <w:lang w:val="en-IE"/>
        </w:rPr>
        <w:t xml:space="preserve"> related to setting up as being high or very high.</w:t>
      </w:r>
    </w:p>
    <w:p w14:paraId="3DAE1A44" w14:textId="3A82A834" w:rsidR="00741EE1" w:rsidRDefault="0026527E" w:rsidP="00682CB9">
      <w:pPr>
        <w:spacing w:after="120"/>
        <w:rPr>
          <w:noProof/>
          <w:color w:val="000000"/>
          <w:shd w:val="clear" w:color="auto" w:fill="FFFFFF" w:themeFill="background1"/>
        </w:rPr>
      </w:pPr>
      <w:r>
        <w:rPr>
          <w:rFonts w:eastAsia="Calibri"/>
          <w:noProof/>
        </w:rPr>
        <w:t xml:space="preserve">When asked about the </w:t>
      </w:r>
      <w:r w:rsidR="00A92C19" w:rsidRPr="00CC2773">
        <w:rPr>
          <w:b/>
          <w:iCs/>
          <w:noProof/>
          <w:color w:val="000000"/>
          <w:shd w:val="clear" w:color="auto" w:fill="FFFFFF"/>
        </w:rPr>
        <w:t>main barriers which made it difficult to set up private limited liability companies fully online</w:t>
      </w:r>
      <w:r w:rsidR="00A92C19" w:rsidRPr="00CC2773">
        <w:rPr>
          <w:bCs/>
          <w:iCs/>
          <w:noProof/>
          <w:color w:val="000000"/>
          <w:shd w:val="clear" w:color="auto" w:fill="FFFFFF"/>
        </w:rPr>
        <w:t xml:space="preserve">, </w:t>
      </w:r>
      <w:r w:rsidR="00CC02D6" w:rsidRPr="00302C03">
        <w:rPr>
          <w:rFonts w:eastAsia="Times New Roman"/>
          <w:noProof/>
        </w:rPr>
        <w:t>75%</w:t>
      </w:r>
      <w:r w:rsidR="00CC02D6">
        <w:rPr>
          <w:rFonts w:eastAsia="Times New Roman"/>
          <w:noProof/>
        </w:rPr>
        <w:t xml:space="preserve"> of respondents</w:t>
      </w:r>
      <w:r w:rsidR="00CC02D6" w:rsidRPr="00302C03">
        <w:rPr>
          <w:rFonts w:eastAsia="Times New Roman"/>
          <w:noProof/>
        </w:rPr>
        <w:t xml:space="preserve"> </w:t>
      </w:r>
      <w:r w:rsidR="00CC02D6" w:rsidRPr="00B012CB">
        <w:rPr>
          <w:rFonts w:eastAsia="Times New Roman"/>
          <w:noProof/>
        </w:rPr>
        <w:t xml:space="preserve">though that </w:t>
      </w:r>
      <w:r w:rsidR="00CC02D6" w:rsidRPr="00B012CB">
        <w:rPr>
          <w:noProof/>
          <w:color w:val="000000"/>
          <w:shd w:val="clear" w:color="auto" w:fill="FFFFFF"/>
        </w:rPr>
        <w:t xml:space="preserve">EU rules on fully online setting up of companies </w:t>
      </w:r>
      <w:r w:rsidR="00CC02D6" w:rsidRPr="0A9B1366">
        <w:rPr>
          <w:noProof/>
          <w:color w:val="000000" w:themeColor="text1"/>
        </w:rPr>
        <w:t>we</w:t>
      </w:r>
      <w:r w:rsidR="00CC02D6" w:rsidRPr="00B012CB">
        <w:rPr>
          <w:noProof/>
          <w:color w:val="000000"/>
          <w:shd w:val="clear" w:color="auto" w:fill="FFFFFF"/>
        </w:rPr>
        <w:t>re not implemented fully/correctly</w:t>
      </w:r>
      <w:r w:rsidR="00CC02D6" w:rsidRPr="0A9B1366">
        <w:rPr>
          <w:noProof/>
          <w:color w:val="000000" w:themeColor="text1"/>
        </w:rPr>
        <w:t xml:space="preserve">, </w:t>
      </w:r>
      <w:r w:rsidR="00DA261A">
        <w:rPr>
          <w:noProof/>
          <w:color w:val="000000" w:themeColor="text1"/>
        </w:rPr>
        <w:t xml:space="preserve">and </w:t>
      </w:r>
      <w:r w:rsidR="00CC02D6" w:rsidRPr="0A9B1366">
        <w:rPr>
          <w:noProof/>
          <w:color w:val="000000" w:themeColor="text1"/>
        </w:rPr>
        <w:t>73 % - that c</w:t>
      </w:r>
      <w:r w:rsidR="00CC02D6" w:rsidRPr="00265503">
        <w:rPr>
          <w:noProof/>
          <w:color w:val="000000"/>
        </w:rPr>
        <w:t xml:space="preserve">ompanies </w:t>
      </w:r>
      <w:r w:rsidR="00CC02D6" w:rsidRPr="0A9B1366">
        <w:rPr>
          <w:noProof/>
          <w:color w:val="000000" w:themeColor="text1"/>
        </w:rPr>
        <w:t>we</w:t>
      </w:r>
      <w:r w:rsidR="00CC02D6" w:rsidRPr="00265503">
        <w:rPr>
          <w:noProof/>
          <w:color w:val="000000"/>
        </w:rPr>
        <w:t>re not aware of the existing rules</w:t>
      </w:r>
      <w:r w:rsidR="00CC02D6">
        <w:rPr>
          <w:noProof/>
          <w:color w:val="000000"/>
        </w:rPr>
        <w:t>,</w:t>
      </w:r>
      <w:r w:rsidR="00CC02D6" w:rsidRPr="00265503">
        <w:rPr>
          <w:noProof/>
          <w:color w:val="000000"/>
        </w:rPr>
        <w:t xml:space="preserve"> </w:t>
      </w:r>
      <w:r w:rsidR="00CC02D6" w:rsidRPr="0A9B1366">
        <w:rPr>
          <w:noProof/>
          <w:color w:val="000000" w:themeColor="text1"/>
        </w:rPr>
        <w:t xml:space="preserve">and that </w:t>
      </w:r>
      <w:r w:rsidR="00CC02D6" w:rsidRPr="00265503">
        <w:rPr>
          <w:noProof/>
        </w:rPr>
        <w:t>it was not possible to carry out all the steps for the formation of a company fully online.</w:t>
      </w:r>
      <w:r w:rsidR="00CC02D6" w:rsidRPr="0A9B1366">
        <w:rPr>
          <w:noProof/>
        </w:rPr>
        <w:t xml:space="preserve"> </w:t>
      </w:r>
      <w:r w:rsidR="00CC02D6">
        <w:rPr>
          <w:rFonts w:eastAsia="Times New Roman"/>
          <w:noProof/>
        </w:rPr>
        <w:t>In addition,</w:t>
      </w:r>
      <w:r w:rsidR="00CC02D6">
        <w:rPr>
          <w:noProof/>
        </w:rPr>
        <w:t xml:space="preserve"> </w:t>
      </w:r>
      <w:r w:rsidR="00CC02D6" w:rsidRPr="00E846DE">
        <w:rPr>
          <w:noProof/>
        </w:rPr>
        <w:t xml:space="preserve">74% </w:t>
      </w:r>
      <w:r w:rsidR="00F178F2">
        <w:rPr>
          <w:noProof/>
        </w:rPr>
        <w:t xml:space="preserve">- </w:t>
      </w:r>
      <w:r w:rsidR="00CC02D6" w:rsidRPr="00E846DE">
        <w:rPr>
          <w:noProof/>
        </w:rPr>
        <w:t>that the process to form a company takes too long and</w:t>
      </w:r>
      <w:r w:rsidR="00CC02D6" w:rsidRPr="00E846DE" w:rsidDel="00101B6A">
        <w:rPr>
          <w:noProof/>
        </w:rPr>
        <w:t xml:space="preserve"> </w:t>
      </w:r>
      <w:r w:rsidR="00CC02D6" w:rsidRPr="00E846DE">
        <w:rPr>
          <w:noProof/>
        </w:rPr>
        <w:t>that technical solutions were not user-friendly and did not function properly</w:t>
      </w:r>
      <w:r w:rsidR="000A2117">
        <w:rPr>
          <w:noProof/>
        </w:rPr>
        <w:t xml:space="preserve">, </w:t>
      </w:r>
      <w:r w:rsidR="00CC02D6" w:rsidRPr="00E846DE">
        <w:rPr>
          <w:noProof/>
        </w:rPr>
        <w:t xml:space="preserve">73% </w:t>
      </w:r>
      <w:r w:rsidR="000A2117">
        <w:rPr>
          <w:noProof/>
        </w:rPr>
        <w:t xml:space="preserve">- </w:t>
      </w:r>
      <w:r w:rsidR="00CC02D6" w:rsidRPr="00E846DE">
        <w:rPr>
          <w:noProof/>
        </w:rPr>
        <w:t xml:space="preserve">that it was not possible to carry out all the steps without the involvement of intermediaries, and 68% - that it was not possible to </w:t>
      </w:r>
      <w:r w:rsidR="00DA261A">
        <w:rPr>
          <w:noProof/>
        </w:rPr>
        <w:t xml:space="preserve">do </w:t>
      </w:r>
      <w:r w:rsidR="00CC02D6" w:rsidRPr="00E846DE">
        <w:rPr>
          <w:noProof/>
        </w:rPr>
        <w:t>the formation in English.</w:t>
      </w:r>
      <w:r w:rsidR="004144FB">
        <w:rPr>
          <w:noProof/>
        </w:rPr>
        <w:t xml:space="preserve"> </w:t>
      </w:r>
      <w:r w:rsidR="00CC2773" w:rsidRPr="00E846DE">
        <w:rPr>
          <w:noProof/>
        </w:rPr>
        <w:t xml:space="preserve">The majority of the respondents who answered open questions considered that barriers related to company formation went beyond company incorporation procedure and registration in the business registers and also </w:t>
      </w:r>
      <w:r w:rsidR="00CC2773">
        <w:rPr>
          <w:noProof/>
        </w:rPr>
        <w:t>included</w:t>
      </w:r>
      <w:r w:rsidR="00CC2773" w:rsidRPr="32E027B0">
        <w:rPr>
          <w:noProof/>
        </w:rPr>
        <w:t xml:space="preserve"> </w:t>
      </w:r>
      <w:r w:rsidR="00CC2773" w:rsidRPr="00E846DE">
        <w:rPr>
          <w:noProof/>
        </w:rPr>
        <w:t>issues related to banks, tax, social security and anti-money laundering</w:t>
      </w:r>
      <w:r w:rsidR="00547593">
        <w:rPr>
          <w:noProof/>
        </w:rPr>
        <w:t xml:space="preserve">; that </w:t>
      </w:r>
      <w:r w:rsidR="00CC2773" w:rsidRPr="00E846DE">
        <w:rPr>
          <w:noProof/>
        </w:rPr>
        <w:t xml:space="preserve">depended on Member States and a large majority of </w:t>
      </w:r>
      <w:r w:rsidR="0051709A">
        <w:rPr>
          <w:noProof/>
        </w:rPr>
        <w:t xml:space="preserve">replies </w:t>
      </w:r>
      <w:r w:rsidR="00CC2773" w:rsidRPr="00E846DE">
        <w:rPr>
          <w:noProof/>
        </w:rPr>
        <w:t xml:space="preserve">focused on problems in Germany and Spain, followed by Italy and the Netherlands </w:t>
      </w:r>
      <w:r w:rsidR="001D00FB">
        <w:rPr>
          <w:noProof/>
        </w:rPr>
        <w:t xml:space="preserve">with some </w:t>
      </w:r>
      <w:r w:rsidR="00CC2773" w:rsidRPr="00E846DE">
        <w:rPr>
          <w:noProof/>
        </w:rPr>
        <w:t xml:space="preserve">examples of </w:t>
      </w:r>
      <w:r w:rsidR="001D00FB">
        <w:rPr>
          <w:noProof/>
        </w:rPr>
        <w:t xml:space="preserve">also </w:t>
      </w:r>
      <w:r w:rsidR="00CC2773" w:rsidRPr="00E846DE">
        <w:rPr>
          <w:noProof/>
        </w:rPr>
        <w:t>other Member States.</w:t>
      </w:r>
      <w:r w:rsidR="001D00FB">
        <w:rPr>
          <w:noProof/>
        </w:rPr>
        <w:t xml:space="preserve"> </w:t>
      </w:r>
      <w:r w:rsidR="00CC2773" w:rsidRPr="003969F9">
        <w:rPr>
          <w:noProof/>
          <w:color w:val="000000"/>
          <w:shd w:val="clear" w:color="auto" w:fill="FFFFFF" w:themeFill="background1"/>
        </w:rPr>
        <w:t xml:space="preserve">The majority mentioned </w:t>
      </w:r>
      <w:r w:rsidR="00CC2773" w:rsidRPr="00ED7DDE">
        <w:rPr>
          <w:b/>
          <w:noProof/>
          <w:color w:val="000000"/>
          <w:shd w:val="clear" w:color="auto" w:fill="FFFFFF" w:themeFill="background1"/>
        </w:rPr>
        <w:t>involvement of notaries</w:t>
      </w:r>
      <w:r w:rsidR="00CC2773" w:rsidRPr="003969F9">
        <w:rPr>
          <w:noProof/>
          <w:color w:val="000000"/>
          <w:shd w:val="clear" w:color="auto" w:fill="FFFFFF" w:themeFill="background1"/>
        </w:rPr>
        <w:t xml:space="preserve"> as a reason for not having online setting up of companies, and many explained that notaries did not </w:t>
      </w:r>
      <w:r w:rsidR="00C961AD">
        <w:rPr>
          <w:noProof/>
          <w:color w:val="000000"/>
          <w:shd w:val="clear" w:color="auto" w:fill="FFFFFF" w:themeFill="background1"/>
        </w:rPr>
        <w:t xml:space="preserve">fully </w:t>
      </w:r>
      <w:r w:rsidR="00CC2773" w:rsidRPr="003969F9">
        <w:rPr>
          <w:noProof/>
          <w:color w:val="000000"/>
          <w:shd w:val="clear" w:color="auto" w:fill="FFFFFF" w:themeFill="background1"/>
        </w:rPr>
        <w:t>apply online tools (even if those existed) but required physical presence for e.g. checking identity, signing documents, certifying documents.</w:t>
      </w:r>
      <w:r w:rsidR="00383DE1">
        <w:rPr>
          <w:noProof/>
          <w:color w:val="000000"/>
          <w:shd w:val="clear" w:color="auto" w:fill="FFFFFF" w:themeFill="background1"/>
        </w:rPr>
        <w:t xml:space="preserve"> </w:t>
      </w:r>
      <w:r w:rsidR="00023CAD">
        <w:rPr>
          <w:noProof/>
          <w:color w:val="000000"/>
          <w:shd w:val="clear" w:color="auto" w:fill="FFFFFF" w:themeFill="background1"/>
        </w:rPr>
        <w:t>R</w:t>
      </w:r>
      <w:r w:rsidR="00383DE1">
        <w:rPr>
          <w:noProof/>
          <w:color w:val="000000"/>
          <w:shd w:val="clear" w:color="auto" w:fill="FFFFFF" w:themeFill="background1"/>
        </w:rPr>
        <w:t xml:space="preserve">esponses </w:t>
      </w:r>
      <w:r w:rsidR="00023CAD">
        <w:rPr>
          <w:noProof/>
          <w:color w:val="000000"/>
          <w:shd w:val="clear" w:color="auto" w:fill="FFFFFF" w:themeFill="background1"/>
        </w:rPr>
        <w:t xml:space="preserve">also </w:t>
      </w:r>
      <w:r w:rsidR="00383DE1">
        <w:rPr>
          <w:noProof/>
          <w:color w:val="000000"/>
          <w:shd w:val="clear" w:color="auto" w:fill="FFFFFF" w:themeFill="background1"/>
        </w:rPr>
        <w:t xml:space="preserve">mentioned that </w:t>
      </w:r>
      <w:r w:rsidR="00383DE1" w:rsidRPr="007073AD">
        <w:rPr>
          <w:rFonts w:eastAsia="Times New Roman"/>
          <w:noProof/>
          <w:lang w:eastAsia="en-IE"/>
        </w:rPr>
        <w:t xml:space="preserve">in some countries, </w:t>
      </w:r>
      <w:r w:rsidR="00383DE1" w:rsidRPr="007073AD">
        <w:rPr>
          <w:rFonts w:eastAsia="Times New Roman"/>
          <w:b/>
          <w:noProof/>
          <w:lang w:eastAsia="en-IE"/>
        </w:rPr>
        <w:t>legal or tax advisors</w:t>
      </w:r>
      <w:r w:rsidR="00383DE1" w:rsidRPr="007073AD">
        <w:rPr>
          <w:rFonts w:eastAsia="Times New Roman"/>
          <w:noProof/>
          <w:lang w:eastAsia="en-IE"/>
        </w:rPr>
        <w:t xml:space="preserve"> were required for filings, particularly for companies with foreign shareholders, and that often lawyers, accountants or tax advisers were involved due to anti-money laundering rules, tax obligations and local legal advice requirements</w:t>
      </w:r>
      <w:r w:rsidR="00216235" w:rsidRPr="007073AD">
        <w:rPr>
          <w:rFonts w:eastAsia="Times New Roman"/>
          <w:noProof/>
          <w:lang w:eastAsia="en-IE"/>
        </w:rPr>
        <w:t>,</w:t>
      </w:r>
      <w:r w:rsidR="00383DE1" w:rsidRPr="007073AD">
        <w:rPr>
          <w:rFonts w:eastAsia="Times New Roman"/>
          <w:noProof/>
          <w:lang w:eastAsia="en-IE"/>
        </w:rPr>
        <w:t xml:space="preserve"> </w:t>
      </w:r>
      <w:r w:rsidR="00216235" w:rsidRPr="007073AD">
        <w:rPr>
          <w:rFonts w:eastAsia="Times New Roman"/>
          <w:noProof/>
          <w:lang w:eastAsia="en-IE"/>
        </w:rPr>
        <w:t xml:space="preserve">in </w:t>
      </w:r>
      <w:r w:rsidR="00383DE1" w:rsidRPr="007073AD">
        <w:rPr>
          <w:rFonts w:eastAsia="Times New Roman"/>
          <w:noProof/>
          <w:lang w:eastAsia="en-IE"/>
        </w:rPr>
        <w:t>particular</w:t>
      </w:r>
      <w:r w:rsidR="00216235" w:rsidRPr="007073AD">
        <w:rPr>
          <w:rFonts w:eastAsia="Times New Roman"/>
          <w:noProof/>
          <w:lang w:eastAsia="en-IE"/>
        </w:rPr>
        <w:t xml:space="preserve"> </w:t>
      </w:r>
      <w:r w:rsidR="00383DE1" w:rsidRPr="007073AD">
        <w:rPr>
          <w:rFonts w:eastAsia="Times New Roman"/>
          <w:noProof/>
          <w:lang w:eastAsia="en-IE"/>
        </w:rPr>
        <w:t>for foreign founders or complex legal environments. T</w:t>
      </w:r>
      <w:r w:rsidR="00216235" w:rsidRPr="007073AD">
        <w:rPr>
          <w:rFonts w:eastAsia="Times New Roman"/>
          <w:noProof/>
          <w:lang w:eastAsia="en-IE"/>
        </w:rPr>
        <w:t>he responding t</w:t>
      </w:r>
      <w:r w:rsidR="00383DE1" w:rsidRPr="007073AD">
        <w:rPr>
          <w:rFonts w:eastAsia="Times New Roman"/>
          <w:noProof/>
          <w:lang w:eastAsia="en-IE"/>
        </w:rPr>
        <w:t xml:space="preserve">ax adviser and legal professional organisations </w:t>
      </w:r>
      <w:r w:rsidR="00383DE1" w:rsidRPr="00B70737">
        <w:rPr>
          <w:noProof/>
        </w:rPr>
        <w:t xml:space="preserve">stressed that engaging tax advisers, lawyers or notaries </w:t>
      </w:r>
      <w:r w:rsidR="00383DE1">
        <w:rPr>
          <w:noProof/>
        </w:rPr>
        <w:t>wa</w:t>
      </w:r>
      <w:r w:rsidR="00383DE1" w:rsidRPr="00E95621">
        <w:rPr>
          <w:noProof/>
        </w:rPr>
        <w:t>s strongly advised when establishing a company, as decisions at this stage can have serious consequences for the business, its shareholders and other stakeholders</w:t>
      </w:r>
      <w:r w:rsidR="00383DE1">
        <w:rPr>
          <w:noProof/>
        </w:rPr>
        <w:t>.</w:t>
      </w:r>
    </w:p>
    <w:p w14:paraId="0D770E2D" w14:textId="5980CFBB" w:rsidR="00682CB9" w:rsidRPr="007073AD" w:rsidRDefault="00682CB9" w:rsidP="00682CB9">
      <w:pPr>
        <w:spacing w:after="120"/>
        <w:rPr>
          <w:rFonts w:eastAsia="Times New Roman"/>
          <w:i/>
          <w:noProof/>
          <w:lang w:val="en-IE" w:eastAsia="en-IE"/>
        </w:rPr>
      </w:pPr>
      <w:r w:rsidRPr="249B2C69">
        <w:rPr>
          <w:rFonts w:eastAsia="Times New Roman"/>
          <w:noProof/>
          <w:lang w:val="en-IE" w:eastAsia="en-IE"/>
        </w:rPr>
        <w:t xml:space="preserve">The problems related to the </w:t>
      </w:r>
      <w:r w:rsidRPr="249B2C69">
        <w:rPr>
          <w:rFonts w:eastAsia="Times New Roman"/>
          <w:b/>
          <w:noProof/>
          <w:lang w:val="en-IE" w:eastAsia="en-IE"/>
        </w:rPr>
        <w:t>verification of identity of natural persons and to digital signature and lack of interoperability</w:t>
      </w:r>
      <w:r w:rsidRPr="249B2C69">
        <w:rPr>
          <w:rFonts w:eastAsia="Times New Roman"/>
          <w:noProof/>
          <w:lang w:val="en-IE" w:eastAsia="en-IE"/>
        </w:rPr>
        <w:t xml:space="preserve"> between countries were also mentioned</w:t>
      </w:r>
      <w:r w:rsidR="0051130B" w:rsidRPr="249B2C69">
        <w:rPr>
          <w:rFonts w:eastAsia="Times New Roman"/>
          <w:noProof/>
          <w:lang w:val="en-IE" w:eastAsia="en-IE"/>
        </w:rPr>
        <w:t xml:space="preserve">, which was thought to have </w:t>
      </w:r>
      <w:r w:rsidRPr="249B2C69">
        <w:rPr>
          <w:rFonts w:eastAsia="Times New Roman"/>
          <w:noProof/>
          <w:lang w:val="en-IE" w:eastAsia="en-IE"/>
        </w:rPr>
        <w:t xml:space="preserve">an </w:t>
      </w:r>
      <w:r w:rsidR="00C5373A" w:rsidRPr="249B2C69">
        <w:rPr>
          <w:rFonts w:eastAsia="Times New Roman"/>
          <w:noProof/>
          <w:lang w:val="en-IE" w:eastAsia="en-IE"/>
        </w:rPr>
        <w:t xml:space="preserve">impact </w:t>
      </w:r>
      <w:r w:rsidRPr="249B2C69">
        <w:rPr>
          <w:rFonts w:eastAsia="Times New Roman"/>
          <w:noProof/>
          <w:lang w:val="en-IE" w:eastAsia="en-IE"/>
        </w:rPr>
        <w:t xml:space="preserve">throughout the </w:t>
      </w:r>
      <w:r w:rsidR="0051130B" w:rsidRPr="249B2C69">
        <w:rPr>
          <w:rFonts w:eastAsia="Times New Roman"/>
          <w:noProof/>
          <w:lang w:val="en-IE" w:eastAsia="en-IE"/>
        </w:rPr>
        <w:t xml:space="preserve">company </w:t>
      </w:r>
      <w:r w:rsidRPr="249B2C69">
        <w:rPr>
          <w:rFonts w:eastAsia="Times New Roman"/>
          <w:noProof/>
          <w:lang w:val="en-IE" w:eastAsia="en-IE"/>
        </w:rPr>
        <w:t>lifecycle</w:t>
      </w:r>
      <w:r w:rsidR="00C5373A" w:rsidRPr="249B2C69">
        <w:rPr>
          <w:rFonts w:eastAsia="Times New Roman"/>
          <w:noProof/>
          <w:lang w:val="en-IE" w:eastAsia="en-IE"/>
        </w:rPr>
        <w:t>;</w:t>
      </w:r>
      <w:r w:rsidRPr="249B2C69">
        <w:rPr>
          <w:rFonts w:eastAsia="Times New Roman"/>
          <w:noProof/>
          <w:lang w:val="en-IE" w:eastAsia="en-IE"/>
        </w:rPr>
        <w:t xml:space="preserve"> </w:t>
      </w:r>
      <w:r w:rsidR="00C5373A" w:rsidRPr="249B2C69">
        <w:rPr>
          <w:rFonts w:eastAsia="Times New Roman"/>
          <w:noProof/>
          <w:lang w:val="en-IE" w:eastAsia="en-IE"/>
        </w:rPr>
        <w:t xml:space="preserve">problems in </w:t>
      </w:r>
      <w:r w:rsidRPr="249B2C69">
        <w:rPr>
          <w:rFonts w:eastAsia="Times New Roman"/>
          <w:noProof/>
          <w:lang w:val="en-IE" w:eastAsia="en-IE"/>
        </w:rPr>
        <w:t>cross-border situations</w:t>
      </w:r>
      <w:r w:rsidR="00C5373A" w:rsidRPr="249B2C69">
        <w:rPr>
          <w:rFonts w:eastAsia="Times New Roman"/>
          <w:noProof/>
          <w:lang w:val="en-IE" w:eastAsia="en-IE"/>
        </w:rPr>
        <w:t xml:space="preserve"> were highlighted in particular</w:t>
      </w:r>
      <w:r w:rsidRPr="249B2C69">
        <w:rPr>
          <w:rFonts w:eastAsia="Times New Roman"/>
          <w:noProof/>
          <w:lang w:val="en-IE" w:eastAsia="en-IE"/>
        </w:rPr>
        <w:t>.</w:t>
      </w:r>
      <w:r w:rsidR="00C5373A" w:rsidRPr="249B2C69">
        <w:rPr>
          <w:rFonts w:eastAsia="Times New Roman"/>
          <w:noProof/>
          <w:lang w:val="en-IE" w:eastAsia="en-IE"/>
        </w:rPr>
        <w:t xml:space="preserve"> </w:t>
      </w:r>
      <w:r w:rsidRPr="249B2C69">
        <w:rPr>
          <w:rFonts w:eastAsia="Times New Roman"/>
          <w:noProof/>
          <w:lang w:val="en-IE" w:eastAsia="en-IE"/>
        </w:rPr>
        <w:t xml:space="preserve">A large number of respondents </w:t>
      </w:r>
      <w:r w:rsidR="00C5373A" w:rsidRPr="249B2C69">
        <w:rPr>
          <w:rFonts w:eastAsia="Times New Roman"/>
          <w:noProof/>
          <w:lang w:val="en-IE" w:eastAsia="en-IE"/>
        </w:rPr>
        <w:t xml:space="preserve">also </w:t>
      </w:r>
      <w:r w:rsidRPr="249B2C69">
        <w:rPr>
          <w:rFonts w:eastAsia="Times New Roman"/>
          <w:noProof/>
          <w:lang w:val="en-IE" w:eastAsia="en-IE"/>
        </w:rPr>
        <w:t xml:space="preserve">stressed the </w:t>
      </w:r>
      <w:r w:rsidRPr="249B2C69">
        <w:rPr>
          <w:rFonts w:eastAsia="Times New Roman"/>
          <w:b/>
          <w:noProof/>
          <w:lang w:val="en-IE" w:eastAsia="en-IE"/>
        </w:rPr>
        <w:t>barriers linked to banks</w:t>
      </w:r>
      <w:r w:rsidR="00C5373A" w:rsidRPr="249B2C69">
        <w:rPr>
          <w:rFonts w:eastAsia="Times New Roman"/>
          <w:noProof/>
          <w:lang w:val="en-IE" w:eastAsia="en-IE"/>
        </w:rPr>
        <w:t xml:space="preserve">, including </w:t>
      </w:r>
      <w:r w:rsidRPr="249B2C69">
        <w:rPr>
          <w:rFonts w:eastAsia="Times New Roman"/>
          <w:noProof/>
          <w:lang w:val="en-IE" w:eastAsia="en-IE"/>
        </w:rPr>
        <w:t xml:space="preserve">that opening of bank accounts usually requires physical presence and that share capital deposit must often be verified </w:t>
      </w:r>
      <w:r w:rsidR="00C5373A" w:rsidRPr="249B2C69">
        <w:rPr>
          <w:rFonts w:eastAsia="Times New Roman"/>
          <w:noProof/>
          <w:lang w:val="en-IE" w:eastAsia="en-IE"/>
        </w:rPr>
        <w:t>in person</w:t>
      </w:r>
      <w:r w:rsidRPr="249B2C69">
        <w:rPr>
          <w:rFonts w:eastAsia="Times New Roman"/>
          <w:noProof/>
          <w:lang w:val="en-IE" w:eastAsia="en-IE"/>
        </w:rPr>
        <w:t xml:space="preserve">. </w:t>
      </w:r>
      <w:r w:rsidR="008069C0" w:rsidRPr="249B2C69">
        <w:rPr>
          <w:rFonts w:eastAsia="Times New Roman"/>
          <w:noProof/>
          <w:lang w:val="en-IE" w:eastAsia="en-IE"/>
        </w:rPr>
        <w:t xml:space="preserve">The responding </w:t>
      </w:r>
      <w:r w:rsidR="008069C0" w:rsidRPr="249B2C69">
        <w:rPr>
          <w:noProof/>
          <w:lang w:val="en-IE"/>
        </w:rPr>
        <w:t>notarial organisations stressed the importance of mandatory public preventive control through courts, administrative bodies and/or notaries, which ensured that company information entered in business registers was complete and correct</w:t>
      </w:r>
      <w:r w:rsidR="00CF7E67" w:rsidRPr="249B2C69">
        <w:rPr>
          <w:noProof/>
          <w:lang w:val="en-IE"/>
        </w:rPr>
        <w:t xml:space="preserve"> and was essential to prevent the misuse of company law for illegal activities, such as money laundering and terrorist financing</w:t>
      </w:r>
      <w:r w:rsidR="008069C0" w:rsidRPr="249B2C69">
        <w:rPr>
          <w:noProof/>
          <w:lang w:val="en-IE"/>
        </w:rPr>
        <w:t>.</w:t>
      </w:r>
    </w:p>
    <w:p w14:paraId="0F51B9DE" w14:textId="6966A64A" w:rsidR="0092430D" w:rsidRPr="00BE43DA" w:rsidRDefault="00DE4D66" w:rsidP="0092430D">
      <w:pPr>
        <w:spacing w:after="120"/>
        <w:rPr>
          <w:rFonts w:eastAsia="Times New Roman"/>
          <w:noProof/>
          <w:lang w:val="en-IE" w:eastAsia="en-IE"/>
        </w:rPr>
      </w:pPr>
      <w:r w:rsidRPr="249B2C69">
        <w:rPr>
          <w:rFonts w:eastAsia="Times New Roman"/>
          <w:noProof/>
          <w:lang w:val="en-IE" w:eastAsia="en-IE"/>
        </w:rPr>
        <w:t xml:space="preserve">On the </w:t>
      </w:r>
      <w:r w:rsidRPr="249B2C69">
        <w:rPr>
          <w:rFonts w:eastAsia="Times New Roman"/>
          <w:b/>
          <w:noProof/>
          <w:lang w:val="en-IE" w:eastAsia="en-IE"/>
        </w:rPr>
        <w:t>length of the setting up of the company</w:t>
      </w:r>
      <w:r w:rsidRPr="249B2C69">
        <w:rPr>
          <w:rFonts w:eastAsia="Times New Roman"/>
          <w:noProof/>
          <w:lang w:val="en-IE" w:eastAsia="en-IE"/>
        </w:rPr>
        <w:t>, over 40% of respondents said that it takes more than 20 working days; 24% - between 10 and 20 working days and 16% - between 5 and 10 working days. 11% replied that the process takes between 2 and 5 working days, which was also the view of the responding notaries, and only 7% - that it is less than 2 working days</w:t>
      </w:r>
      <w:r w:rsidRPr="249B2C69" w:rsidDel="00455D55">
        <w:rPr>
          <w:rFonts w:eastAsia="Times New Roman"/>
          <w:noProof/>
          <w:lang w:val="en-IE" w:eastAsia="en-IE"/>
        </w:rPr>
        <w:t>.</w:t>
      </w:r>
      <w:r w:rsidRPr="249B2C69">
        <w:rPr>
          <w:noProof/>
          <w:lang w:val="en-IE"/>
        </w:rPr>
        <w:t xml:space="preserve"> These views were broadly shared by companies and </w:t>
      </w:r>
      <w:r w:rsidR="006F3795" w:rsidRPr="249B2C69">
        <w:rPr>
          <w:noProof/>
          <w:lang w:val="en-IE"/>
        </w:rPr>
        <w:t xml:space="preserve">most </w:t>
      </w:r>
      <w:r w:rsidRPr="249B2C69">
        <w:rPr>
          <w:noProof/>
          <w:lang w:val="en-IE"/>
        </w:rPr>
        <w:t>b</w:t>
      </w:r>
      <w:r w:rsidRPr="249B2C69">
        <w:rPr>
          <w:rFonts w:eastAsia="Times New Roman"/>
          <w:noProof/>
          <w:lang w:val="en-IE" w:eastAsia="en-IE"/>
        </w:rPr>
        <w:t>usiness associations</w:t>
      </w:r>
      <w:r w:rsidR="006F3795" w:rsidRPr="249B2C69">
        <w:rPr>
          <w:rFonts w:eastAsia="Times New Roman"/>
          <w:noProof/>
          <w:lang w:val="en-IE" w:eastAsia="en-IE"/>
        </w:rPr>
        <w:t>,</w:t>
      </w:r>
      <w:r w:rsidRPr="249B2C69">
        <w:rPr>
          <w:rFonts w:eastAsia="Times New Roman"/>
          <w:noProof/>
          <w:lang w:val="en-IE" w:eastAsia="en-IE"/>
        </w:rPr>
        <w:t xml:space="preserve"> only very few </w:t>
      </w:r>
      <w:r w:rsidR="006F3795" w:rsidRPr="249B2C69">
        <w:rPr>
          <w:rFonts w:eastAsia="Times New Roman"/>
          <w:noProof/>
          <w:lang w:val="en-IE" w:eastAsia="en-IE"/>
        </w:rPr>
        <w:t xml:space="preserve">public authorities and trade unions </w:t>
      </w:r>
      <w:r w:rsidRPr="249B2C69">
        <w:rPr>
          <w:rFonts w:eastAsia="Times New Roman"/>
          <w:noProof/>
          <w:lang w:val="en-IE" w:eastAsia="en-IE"/>
        </w:rPr>
        <w:t xml:space="preserve">replied and those considered the process </w:t>
      </w:r>
      <w:r w:rsidR="006F3795" w:rsidRPr="249B2C69">
        <w:rPr>
          <w:rFonts w:eastAsia="Times New Roman"/>
          <w:noProof/>
          <w:lang w:val="en-IE" w:eastAsia="en-IE"/>
        </w:rPr>
        <w:t xml:space="preserve">took </w:t>
      </w:r>
      <w:r w:rsidRPr="249B2C69">
        <w:rPr>
          <w:rFonts w:eastAsia="Times New Roman"/>
          <w:noProof/>
          <w:lang w:val="en-IE" w:eastAsia="en-IE"/>
        </w:rPr>
        <w:t xml:space="preserve">less than 5 days. </w:t>
      </w:r>
      <w:r w:rsidR="0092430D" w:rsidRPr="249B2C69">
        <w:rPr>
          <w:rFonts w:eastAsia="Times New Roman"/>
          <w:noProof/>
          <w:lang w:val="en-IE" w:eastAsia="en-IE"/>
        </w:rPr>
        <w:t xml:space="preserve">For 89% (760) of respondents, one of the </w:t>
      </w:r>
      <w:r w:rsidR="0092430D" w:rsidRPr="249B2C69">
        <w:rPr>
          <w:rFonts w:eastAsia="Times New Roman"/>
          <w:b/>
          <w:noProof/>
          <w:lang w:val="en-IE" w:eastAsia="en-IE"/>
        </w:rPr>
        <w:t>reasons why the formation process takes too long</w:t>
      </w:r>
      <w:r w:rsidR="0092430D" w:rsidRPr="249B2C69">
        <w:rPr>
          <w:rFonts w:eastAsia="Times New Roman"/>
          <w:noProof/>
          <w:lang w:val="en-IE" w:eastAsia="en-IE"/>
        </w:rPr>
        <w:t xml:space="preserve"> was the time needed by business registers to complete company registration; for 83% (713) – it was due to the involvement of intermediaries; and 23% cited other reasons.</w:t>
      </w:r>
      <w:r w:rsidR="00137996" w:rsidRPr="249B2C69">
        <w:rPr>
          <w:rFonts w:eastAsia="Times New Roman"/>
          <w:noProof/>
          <w:lang w:val="en-IE" w:eastAsia="en-IE"/>
        </w:rPr>
        <w:t xml:space="preserve"> The additional</w:t>
      </w:r>
      <w:r w:rsidR="0092430D" w:rsidRPr="249B2C69" w:rsidDel="00137996">
        <w:rPr>
          <w:rFonts w:eastAsia="Times New Roman"/>
          <w:noProof/>
          <w:lang w:val="en-IE" w:eastAsia="en-IE"/>
        </w:rPr>
        <w:t xml:space="preserve"> </w:t>
      </w:r>
      <w:r w:rsidR="00137996" w:rsidRPr="249B2C69">
        <w:rPr>
          <w:rFonts w:eastAsia="Times New Roman"/>
          <w:noProof/>
          <w:lang w:val="en-IE" w:eastAsia="en-IE"/>
        </w:rPr>
        <w:t>reasons included delays in opening a bank account and depositing capital, manual anti‑money‑laundering checks and cross‑border filings with multiple authorities, as these steps were sequential and could not run in parallel, extending timelines.</w:t>
      </w:r>
    </w:p>
    <w:p w14:paraId="58F5D497" w14:textId="1A89224F" w:rsidR="00DE4D66" w:rsidRDefault="008C3E7E" w:rsidP="00DE4D66">
      <w:pPr>
        <w:spacing w:after="120"/>
        <w:rPr>
          <w:rFonts w:eastAsia="Times New Roman"/>
          <w:noProof/>
          <w:lang w:eastAsia="en-IE"/>
        </w:rPr>
      </w:pPr>
      <w:r>
        <w:rPr>
          <w:rFonts w:eastAsia="Times New Roman"/>
          <w:noProof/>
          <w:lang w:eastAsia="en-IE"/>
        </w:rPr>
        <w:t xml:space="preserve">As to the </w:t>
      </w:r>
      <w:r w:rsidRPr="00ED7DDE">
        <w:rPr>
          <w:rFonts w:eastAsia="Times New Roman"/>
          <w:b/>
          <w:noProof/>
          <w:lang w:eastAsia="en-IE"/>
        </w:rPr>
        <w:t>formation of company in English</w:t>
      </w:r>
      <w:r>
        <w:rPr>
          <w:rFonts w:eastAsia="Times New Roman"/>
          <w:noProof/>
          <w:lang w:eastAsia="en-IE"/>
        </w:rPr>
        <w:t xml:space="preserve">, </w:t>
      </w:r>
      <w:r w:rsidRPr="007073AD">
        <w:rPr>
          <w:rFonts w:eastAsia="Times New Roman"/>
          <w:noProof/>
          <w:lang w:eastAsia="en-IE"/>
        </w:rPr>
        <w:t>the majority considered that everything should be in English, while some others opted for dual language requirement (Member State language/EN)</w:t>
      </w:r>
      <w:r w:rsidR="00E643F2" w:rsidRPr="007073AD">
        <w:rPr>
          <w:rFonts w:eastAsia="Times New Roman"/>
          <w:noProof/>
          <w:lang w:eastAsia="en-IE"/>
        </w:rPr>
        <w:t xml:space="preserve">, and it was </w:t>
      </w:r>
      <w:r w:rsidRPr="007073AD">
        <w:rPr>
          <w:rFonts w:eastAsia="Times New Roman"/>
          <w:noProof/>
          <w:lang w:eastAsia="en-IE"/>
        </w:rPr>
        <w:t>said that having all procedural steps in English was crucial to attract foreign investors and promote cross-border activity</w:t>
      </w:r>
      <w:r w:rsidRPr="007073AD">
        <w:rPr>
          <w:rFonts w:eastAsia="Times New Roman"/>
          <w:noProof/>
          <w:sz w:val="28"/>
          <w:szCs w:val="28"/>
          <w:lang w:eastAsia="en-IE"/>
        </w:rPr>
        <w:t>.</w:t>
      </w:r>
    </w:p>
    <w:p w14:paraId="5C215A3F" w14:textId="73272F7B" w:rsidR="00243720" w:rsidRPr="007073AD" w:rsidRDefault="004C5417" w:rsidP="00243720">
      <w:pPr>
        <w:pStyle w:val="ListParagraph"/>
        <w:spacing w:after="120"/>
        <w:ind w:left="0"/>
        <w:contextualSpacing w:val="0"/>
        <w:rPr>
          <w:rFonts w:eastAsia="Times New Roman"/>
          <w:noProof/>
        </w:rPr>
      </w:pPr>
      <w:r>
        <w:rPr>
          <w:rFonts w:eastAsia="Calibri"/>
          <w:noProof/>
        </w:rPr>
        <w:t xml:space="preserve">When asked about specific digital tools and solutions, </w:t>
      </w:r>
      <w:r w:rsidR="00243720" w:rsidRPr="00BA656C">
        <w:rPr>
          <w:rFonts w:eastAsia="Times New Roman"/>
          <w:noProof/>
        </w:rPr>
        <w:t xml:space="preserve">89% of respondents </w:t>
      </w:r>
      <w:r w:rsidR="00243720">
        <w:rPr>
          <w:rFonts w:eastAsia="Times New Roman"/>
          <w:noProof/>
        </w:rPr>
        <w:t xml:space="preserve">thought </w:t>
      </w:r>
      <w:r w:rsidR="00243720" w:rsidRPr="00BA656C">
        <w:rPr>
          <w:rFonts w:eastAsia="Times New Roman"/>
          <w:noProof/>
        </w:rPr>
        <w:t xml:space="preserve">that </w:t>
      </w:r>
      <w:r w:rsidR="00243720" w:rsidRPr="00ED7DDE">
        <w:rPr>
          <w:rFonts w:eastAsia="Times New Roman"/>
          <w:b/>
          <w:noProof/>
        </w:rPr>
        <w:t>a single access point/interface</w:t>
      </w:r>
      <w:r w:rsidR="003D524F">
        <w:rPr>
          <w:rFonts w:eastAsia="Times New Roman"/>
          <w:b/>
          <w:bCs/>
          <w:noProof/>
        </w:rPr>
        <w:t xml:space="preserve"> and</w:t>
      </w:r>
      <w:r w:rsidR="00243720" w:rsidRPr="00ED7DDE">
        <w:rPr>
          <w:rFonts w:eastAsia="Times New Roman"/>
          <w:b/>
          <w:noProof/>
        </w:rPr>
        <w:t xml:space="preserve"> harmonised registration form </w:t>
      </w:r>
      <w:r w:rsidR="00243720" w:rsidRPr="00BA656C">
        <w:rPr>
          <w:rFonts w:eastAsia="Times New Roman"/>
          <w:noProof/>
        </w:rPr>
        <w:t xml:space="preserve">would contribute to a </w:t>
      </w:r>
      <w:r w:rsidR="00243720" w:rsidRPr="00ED7DDE">
        <w:rPr>
          <w:rFonts w:eastAsia="Times New Roman"/>
          <w:noProof/>
        </w:rPr>
        <w:t xml:space="preserve">very large </w:t>
      </w:r>
      <w:r w:rsidR="00243720" w:rsidRPr="00CF5443">
        <w:rPr>
          <w:rFonts w:eastAsia="Times New Roman"/>
          <w:bCs/>
          <w:noProof/>
        </w:rPr>
        <w:t xml:space="preserve">(80%) or </w:t>
      </w:r>
      <w:r w:rsidR="00243720" w:rsidRPr="00ED7DDE">
        <w:rPr>
          <w:rFonts w:eastAsia="Times New Roman"/>
          <w:noProof/>
        </w:rPr>
        <w:t>large extent</w:t>
      </w:r>
      <w:r w:rsidR="00243720" w:rsidRPr="00BA656C">
        <w:rPr>
          <w:rFonts w:eastAsia="Times New Roman"/>
          <w:b/>
          <w:noProof/>
        </w:rPr>
        <w:t xml:space="preserve"> </w:t>
      </w:r>
      <w:r w:rsidR="00243720" w:rsidRPr="00BA656C">
        <w:rPr>
          <w:rFonts w:eastAsia="Times New Roman"/>
          <w:noProof/>
        </w:rPr>
        <w:t>(9%) to a fast and efficient setting up of 28</w:t>
      </w:r>
      <w:r w:rsidR="00243720" w:rsidRPr="00FC1843">
        <w:rPr>
          <w:rFonts w:eastAsia="Times New Roman"/>
          <w:noProof/>
          <w:vertAlign w:val="superscript"/>
        </w:rPr>
        <w:t>th</w:t>
      </w:r>
      <w:r w:rsidR="00243720" w:rsidRPr="00BA656C">
        <w:rPr>
          <w:rFonts w:eastAsia="Times New Roman"/>
          <w:noProof/>
        </w:rPr>
        <w:t xml:space="preserve"> regime companies.</w:t>
      </w:r>
    </w:p>
    <w:p w14:paraId="18E15F89" w14:textId="0AA0D52E" w:rsidR="009C1B32" w:rsidRPr="007073AD" w:rsidRDefault="009B7CF9" w:rsidP="009C1B32">
      <w:pPr>
        <w:spacing w:after="120"/>
        <w:rPr>
          <w:rFonts w:eastAsia="Times New Roman"/>
          <w:noProof/>
          <w:color w:val="000000"/>
          <w:lang w:val="en-IE" w:eastAsia="en-IE"/>
        </w:rPr>
      </w:pPr>
      <w:r w:rsidRPr="249B2C69">
        <w:rPr>
          <w:noProof/>
          <w:lang w:val="en-IE"/>
        </w:rPr>
        <w:t xml:space="preserve">On the issues related to </w:t>
      </w:r>
      <w:r w:rsidRPr="249B2C69">
        <w:rPr>
          <w:b/>
          <w:noProof/>
          <w:lang w:val="en-IE"/>
        </w:rPr>
        <w:t>cross-border electronic identification of persons</w:t>
      </w:r>
      <w:r w:rsidRPr="249B2C69">
        <w:rPr>
          <w:noProof/>
          <w:lang w:val="en-IE"/>
        </w:rPr>
        <w:t xml:space="preserve">, 88% of respondents (747) indicated there were still problems, of which 68% mentioned issues related to the recognition and/or acceptance of the electronic identification, 64% </w:t>
      </w:r>
      <w:r w:rsidR="00034321" w:rsidRPr="249B2C69">
        <w:rPr>
          <w:noProof/>
          <w:lang w:val="en-IE"/>
        </w:rPr>
        <w:t xml:space="preserve">- </w:t>
      </w:r>
      <w:r w:rsidRPr="249B2C69">
        <w:rPr>
          <w:noProof/>
          <w:lang w:val="en-IE"/>
        </w:rPr>
        <w:t xml:space="preserve">the lack of clarity and guidance on the use of electronic identification in company registration and filing procedures, 58% </w:t>
      </w:r>
      <w:r w:rsidR="00034321" w:rsidRPr="249B2C69">
        <w:rPr>
          <w:noProof/>
          <w:lang w:val="en-IE"/>
        </w:rPr>
        <w:t xml:space="preserve">- </w:t>
      </w:r>
      <w:r w:rsidRPr="249B2C69">
        <w:rPr>
          <w:noProof/>
          <w:lang w:val="en-IE"/>
        </w:rPr>
        <w:t xml:space="preserve">the limited availability of electronic identification solutions and 53% </w:t>
      </w:r>
      <w:r w:rsidR="00034321" w:rsidRPr="249B2C69">
        <w:rPr>
          <w:noProof/>
          <w:lang w:val="en-IE"/>
        </w:rPr>
        <w:t xml:space="preserve">- </w:t>
      </w:r>
      <w:r w:rsidRPr="249B2C69">
        <w:rPr>
          <w:noProof/>
          <w:lang w:val="en-IE"/>
        </w:rPr>
        <w:t xml:space="preserve">technical problems when using electronic identification. A minority (12%) </w:t>
      </w:r>
      <w:r w:rsidR="00034321" w:rsidRPr="249B2C69">
        <w:rPr>
          <w:noProof/>
          <w:lang w:val="en-IE"/>
        </w:rPr>
        <w:t xml:space="preserve">saw </w:t>
      </w:r>
      <w:r w:rsidRPr="249B2C69">
        <w:rPr>
          <w:noProof/>
          <w:lang w:val="en-IE"/>
        </w:rPr>
        <w:t xml:space="preserve">no issues and 8% mentioned other </w:t>
      </w:r>
      <w:r w:rsidR="00034321" w:rsidRPr="249B2C69">
        <w:rPr>
          <w:noProof/>
          <w:lang w:val="en-IE"/>
        </w:rPr>
        <w:t>ones</w:t>
      </w:r>
      <w:r w:rsidRPr="249B2C69">
        <w:rPr>
          <w:noProof/>
          <w:lang w:val="en-IE"/>
        </w:rPr>
        <w:t>.</w:t>
      </w:r>
      <w:r w:rsidR="00023A65" w:rsidRPr="249B2C69">
        <w:rPr>
          <w:rFonts w:eastAsia="Times New Roman"/>
          <w:noProof/>
          <w:color w:val="000000" w:themeColor="text1"/>
          <w:lang w:val="en-IE" w:eastAsia="en-IE"/>
        </w:rPr>
        <w:t xml:space="preserve"> </w:t>
      </w:r>
      <w:r w:rsidR="009C1B32" w:rsidRPr="249B2C69">
        <w:rPr>
          <w:rFonts w:eastAsia="Times New Roman"/>
          <w:noProof/>
          <w:color w:val="000000" w:themeColor="text1"/>
          <w:lang w:val="en-IE" w:eastAsia="en-IE"/>
        </w:rPr>
        <w:t xml:space="preserve">A large majority of respondents pointed out that problems were due to the fact that digital ID solutions were built for national citizens and residents only and did not work cross-border. They explained that despite the EU eIDAS and Digital ID frameworks, many Member State registers still refused to recognise foreign eIDs or required manual identity checks or physical verification. </w:t>
      </w:r>
      <w:r w:rsidR="00DE637D" w:rsidRPr="249B2C69">
        <w:rPr>
          <w:rFonts w:eastAsia="Times New Roman"/>
          <w:noProof/>
          <w:color w:val="000000" w:themeColor="text1"/>
          <w:lang w:val="en-IE" w:eastAsia="en-IE"/>
        </w:rPr>
        <w:t>Unclear g</w:t>
      </w:r>
      <w:r w:rsidR="009C1B32" w:rsidRPr="249B2C69">
        <w:rPr>
          <w:rFonts w:eastAsia="Times New Roman"/>
          <w:noProof/>
          <w:color w:val="000000" w:themeColor="text1"/>
          <w:lang w:val="en-IE" w:eastAsia="en-IE"/>
        </w:rPr>
        <w:t xml:space="preserve">uidance on use </w:t>
      </w:r>
      <w:r w:rsidR="00DE637D" w:rsidRPr="249B2C69">
        <w:rPr>
          <w:rFonts w:eastAsia="Times New Roman"/>
          <w:noProof/>
          <w:color w:val="000000" w:themeColor="text1"/>
          <w:lang w:val="en-IE" w:eastAsia="en-IE"/>
        </w:rPr>
        <w:t xml:space="preserve">of eIDs </w:t>
      </w:r>
      <w:r w:rsidR="009C1B32" w:rsidRPr="249B2C69">
        <w:rPr>
          <w:rFonts w:eastAsia="Times New Roman"/>
          <w:noProof/>
          <w:color w:val="000000" w:themeColor="text1"/>
          <w:lang w:val="en-IE" w:eastAsia="en-IE"/>
        </w:rPr>
        <w:t>in company registration</w:t>
      </w:r>
      <w:r w:rsidR="00DE637D" w:rsidRPr="249B2C69">
        <w:rPr>
          <w:rFonts w:eastAsia="Times New Roman"/>
          <w:noProof/>
          <w:color w:val="000000" w:themeColor="text1"/>
          <w:lang w:val="en-IE" w:eastAsia="en-IE"/>
        </w:rPr>
        <w:t>,</w:t>
      </w:r>
      <w:r w:rsidR="009C1B32" w:rsidRPr="249B2C69">
        <w:rPr>
          <w:rFonts w:eastAsia="Times New Roman"/>
          <w:noProof/>
          <w:color w:val="000000" w:themeColor="text1"/>
          <w:lang w:val="en-IE" w:eastAsia="en-IE"/>
        </w:rPr>
        <w:t xml:space="preserve"> </w:t>
      </w:r>
      <w:r w:rsidR="00DE637D" w:rsidRPr="249B2C69">
        <w:rPr>
          <w:rFonts w:eastAsia="Times New Roman"/>
          <w:noProof/>
          <w:color w:val="000000" w:themeColor="text1"/>
          <w:lang w:val="en-IE" w:eastAsia="en-IE"/>
        </w:rPr>
        <w:t>t</w:t>
      </w:r>
      <w:r w:rsidR="009C1B32" w:rsidRPr="249B2C69">
        <w:rPr>
          <w:rFonts w:eastAsia="Times New Roman"/>
          <w:noProof/>
          <w:color w:val="000000" w:themeColor="text1"/>
          <w:lang w:val="en-IE" w:eastAsia="en-IE"/>
        </w:rPr>
        <w:t xml:space="preserve">echnical problems such as failed verification </w:t>
      </w:r>
      <w:r w:rsidR="00C114BE" w:rsidRPr="249B2C69">
        <w:rPr>
          <w:rFonts w:eastAsia="Times New Roman"/>
          <w:noProof/>
          <w:color w:val="000000" w:themeColor="text1"/>
          <w:lang w:val="en-IE" w:eastAsia="en-IE"/>
        </w:rPr>
        <w:t>were also mentioned</w:t>
      </w:r>
      <w:r w:rsidR="009C1B32" w:rsidRPr="249B2C69">
        <w:rPr>
          <w:rFonts w:eastAsia="Times New Roman"/>
          <w:noProof/>
          <w:color w:val="000000" w:themeColor="text1"/>
          <w:lang w:val="en-IE" w:eastAsia="en-IE"/>
        </w:rPr>
        <w:t>. The lack of interoperability between national systems forced founders to rely on costly workarounds or intermediaries</w:t>
      </w:r>
      <w:r w:rsidR="00B16295" w:rsidRPr="249B2C69">
        <w:rPr>
          <w:rFonts w:eastAsia="Times New Roman"/>
          <w:noProof/>
          <w:color w:val="000000" w:themeColor="text1"/>
          <w:lang w:val="en-IE" w:eastAsia="en-IE"/>
        </w:rPr>
        <w:t>; s</w:t>
      </w:r>
      <w:r w:rsidR="009C1B32" w:rsidRPr="249B2C69">
        <w:rPr>
          <w:rFonts w:eastAsia="Times New Roman"/>
          <w:noProof/>
          <w:color w:val="000000" w:themeColor="text1"/>
          <w:lang w:val="en-IE" w:eastAsia="en-IE"/>
        </w:rPr>
        <w:t>ome suggested that a harmonised e-ID recognition across the EU was essential to make the 28th regime truly digital.</w:t>
      </w:r>
      <w:r w:rsidR="001874A0" w:rsidRPr="249B2C69">
        <w:rPr>
          <w:rFonts w:eastAsia="Times New Roman"/>
          <w:noProof/>
          <w:color w:val="000000" w:themeColor="text1"/>
          <w:lang w:val="en-IE" w:eastAsia="en-IE"/>
        </w:rPr>
        <w:t xml:space="preserve"> </w:t>
      </w:r>
      <w:r w:rsidR="009C1B32" w:rsidRPr="249B2C69">
        <w:rPr>
          <w:rFonts w:eastAsia="Times New Roman"/>
          <w:noProof/>
          <w:color w:val="000000" w:themeColor="text1"/>
          <w:lang w:val="en-IE" w:eastAsia="en-IE"/>
        </w:rPr>
        <w:t xml:space="preserve">Some respondents </w:t>
      </w:r>
      <w:r w:rsidR="001874A0" w:rsidRPr="249B2C69">
        <w:rPr>
          <w:rFonts w:eastAsia="Times New Roman"/>
          <w:noProof/>
          <w:color w:val="000000" w:themeColor="text1"/>
          <w:lang w:val="en-IE" w:eastAsia="en-IE"/>
        </w:rPr>
        <w:t>referred to</w:t>
      </w:r>
      <w:r w:rsidR="009C1B32" w:rsidRPr="249B2C69">
        <w:rPr>
          <w:rFonts w:eastAsia="Times New Roman"/>
          <w:noProof/>
          <w:color w:val="000000" w:themeColor="text1"/>
          <w:lang w:val="en-IE" w:eastAsia="en-IE"/>
        </w:rPr>
        <w:t xml:space="preserve"> </w:t>
      </w:r>
      <w:r w:rsidR="009C1B32" w:rsidRPr="249B2C69">
        <w:rPr>
          <w:rFonts w:eastAsia="Times New Roman"/>
          <w:b/>
          <w:noProof/>
          <w:color w:val="000000" w:themeColor="text1"/>
          <w:lang w:val="en-IE" w:eastAsia="en-IE"/>
        </w:rPr>
        <w:t>non-EU nationals</w:t>
      </w:r>
      <w:r w:rsidR="009C1B32" w:rsidRPr="249B2C69">
        <w:rPr>
          <w:rFonts w:eastAsia="Times New Roman"/>
          <w:noProof/>
          <w:color w:val="000000" w:themeColor="text1"/>
          <w:lang w:val="en-IE" w:eastAsia="en-IE"/>
        </w:rPr>
        <w:t xml:space="preserve"> who did not meet the requirements for using eIDAS identification and were prevented from participating in startups as investors. </w:t>
      </w:r>
    </w:p>
    <w:p w14:paraId="3CC61D7B" w14:textId="3DF081F3" w:rsidR="00023A65" w:rsidRPr="007073AD" w:rsidRDefault="00023A65" w:rsidP="000A0753">
      <w:pPr>
        <w:spacing w:after="120"/>
        <w:rPr>
          <w:rFonts w:eastAsia="Calibri"/>
          <w:noProof/>
          <w:lang w:val="en-IE"/>
        </w:rPr>
      </w:pPr>
      <w:r w:rsidRPr="249B2C69">
        <w:rPr>
          <w:noProof/>
          <w:lang w:val="en-IE"/>
        </w:rPr>
        <w:t xml:space="preserve">As regards </w:t>
      </w:r>
      <w:r w:rsidRPr="249B2C69">
        <w:rPr>
          <w:b/>
          <w:noProof/>
          <w:lang w:val="en-IE"/>
        </w:rPr>
        <w:t>electronic signatures</w:t>
      </w:r>
      <w:r w:rsidRPr="249B2C69">
        <w:rPr>
          <w:noProof/>
          <w:lang w:val="en-IE"/>
        </w:rPr>
        <w:t>, 90% of respondents (792) indicated there were still problems; 72% indicated there were still issues related to the recognition and/or acceptance of the electronic signatures, 62% mentioned the lack of clarity and guidance on the use of electronic signatures in company registration and filing procedures, 53% - the limited availability of electronic signature solutions, 49% - technical problems, 46% - costs to obtain and use electronic signatures and 41% had concerns about the security and integrity of electronic signatures. 10%</w:t>
      </w:r>
      <w:r w:rsidR="00C324D3" w:rsidRPr="249B2C69">
        <w:rPr>
          <w:noProof/>
          <w:lang w:val="en-IE"/>
        </w:rPr>
        <w:t xml:space="preserve"> saw </w:t>
      </w:r>
      <w:r w:rsidRPr="249B2C69">
        <w:rPr>
          <w:noProof/>
          <w:lang w:val="en-IE"/>
        </w:rPr>
        <w:t>no remaining problems and 6% mentioned other issues.</w:t>
      </w:r>
      <w:r w:rsidR="00A65404" w:rsidRPr="249B2C69">
        <w:rPr>
          <w:noProof/>
          <w:lang w:val="en-IE"/>
        </w:rPr>
        <w:t xml:space="preserve"> Respondents to the open question (61) mentioned a lack of acceptance of electronic signatures by authorities, including notaries, lawyers, courts, and also by banks, the inconsistent recognition of electronic signatures across Member States, and the requirement of an in-person registration to obtain one.</w:t>
      </w:r>
    </w:p>
    <w:p w14:paraId="7622D7C8" w14:textId="7C07C5CD" w:rsidR="00903DE4" w:rsidRPr="009039FD" w:rsidRDefault="00D212BD" w:rsidP="000A0753">
      <w:pPr>
        <w:spacing w:after="120"/>
        <w:rPr>
          <w:rFonts w:eastAsia="Calibri"/>
          <w:b/>
          <w:bCs/>
          <w:i/>
          <w:iCs/>
          <w:noProof/>
        </w:rPr>
      </w:pPr>
      <w:r w:rsidRPr="009039FD">
        <w:rPr>
          <w:rFonts w:eastAsia="Calibri"/>
          <w:b/>
          <w:bCs/>
          <w:i/>
          <w:iCs/>
          <w:noProof/>
        </w:rPr>
        <w:t>O</w:t>
      </w:r>
      <w:r w:rsidR="00903DE4" w:rsidRPr="009039FD">
        <w:rPr>
          <w:rFonts w:eastAsia="Calibri"/>
          <w:b/>
          <w:bCs/>
          <w:i/>
          <w:iCs/>
          <w:noProof/>
        </w:rPr>
        <w:t xml:space="preserve">nce-only submission of information in the context of registration </w:t>
      </w:r>
    </w:p>
    <w:p w14:paraId="7451A1CC" w14:textId="21992B28" w:rsidR="009039FD" w:rsidDel="006868C5" w:rsidRDefault="008E2DFA" w:rsidP="000A0753">
      <w:pPr>
        <w:spacing w:after="120"/>
        <w:rPr>
          <w:rFonts w:eastAsia="Times New Roman"/>
          <w:noProof/>
          <w:lang w:val="en-IE" w:eastAsia="en-IE"/>
        </w:rPr>
      </w:pPr>
      <w:r w:rsidRPr="249B2C69">
        <w:rPr>
          <w:noProof/>
          <w:lang w:val="en-IE"/>
        </w:rPr>
        <w:t xml:space="preserve">Over 85% of respondents considered that </w:t>
      </w:r>
      <w:r w:rsidR="00A7509B" w:rsidRPr="249B2C69">
        <w:rPr>
          <w:noProof/>
          <w:lang w:val="en-IE"/>
        </w:rPr>
        <w:t xml:space="preserve">the </w:t>
      </w:r>
      <w:r w:rsidRPr="249B2C69">
        <w:rPr>
          <w:noProof/>
          <w:lang w:val="en-IE"/>
        </w:rPr>
        <w:t xml:space="preserve">lack of implementation of the “once-only” principle </w:t>
      </w:r>
      <w:r w:rsidR="004669A8" w:rsidRPr="249B2C69">
        <w:rPr>
          <w:noProof/>
          <w:lang w:val="en-IE"/>
        </w:rPr>
        <w:t xml:space="preserve">(whereby company needs to submit the information only once and information is automatically shared between the authorities) </w:t>
      </w:r>
      <w:r w:rsidRPr="249B2C69">
        <w:rPr>
          <w:noProof/>
          <w:lang w:val="en-IE"/>
        </w:rPr>
        <w:t xml:space="preserve">created barriers to </w:t>
      </w:r>
      <w:r w:rsidR="009B364C" w:rsidRPr="249B2C69">
        <w:rPr>
          <w:noProof/>
          <w:lang w:val="en-IE"/>
        </w:rPr>
        <w:t xml:space="preserve">setting up, operating or closing down a company or attracting finance in the EU </w:t>
      </w:r>
      <w:r w:rsidRPr="249B2C69">
        <w:rPr>
          <w:noProof/>
          <w:lang w:val="en-IE"/>
        </w:rPr>
        <w:t>to a large or very large extent.</w:t>
      </w:r>
      <w:r w:rsidR="004376DA" w:rsidRPr="249B2C69">
        <w:rPr>
          <w:noProof/>
          <w:lang w:val="en-IE"/>
        </w:rPr>
        <w:t xml:space="preserve"> </w:t>
      </w:r>
      <w:r w:rsidR="004376DA" w:rsidRPr="249B2C69">
        <w:rPr>
          <w:rFonts w:eastAsia="Times New Roman"/>
          <w:noProof/>
          <w:lang w:val="en-IE"/>
        </w:rPr>
        <w:t xml:space="preserve">In the context of </w:t>
      </w:r>
      <w:r w:rsidR="004376DA" w:rsidRPr="249B2C69">
        <w:rPr>
          <w:noProof/>
          <w:color w:val="000000"/>
          <w:shd w:val="clear" w:color="auto" w:fill="FFFFFF"/>
          <w:lang w:val="en-IE"/>
        </w:rPr>
        <w:t>setting up companies fully online,</w:t>
      </w:r>
      <w:r w:rsidR="004376DA" w:rsidRPr="249B2C69">
        <w:rPr>
          <w:b/>
          <w:i/>
          <w:noProof/>
          <w:color w:val="000000"/>
          <w:shd w:val="clear" w:color="auto" w:fill="FFFFFF"/>
          <w:lang w:val="en-IE"/>
        </w:rPr>
        <w:t xml:space="preserve"> </w:t>
      </w:r>
      <w:r w:rsidR="000A2117" w:rsidRPr="249B2C69">
        <w:rPr>
          <w:rFonts w:eastAsia="Times New Roman"/>
          <w:noProof/>
          <w:lang w:val="en-IE"/>
        </w:rPr>
        <w:t xml:space="preserve">84% considered </w:t>
      </w:r>
      <w:r w:rsidR="000A2117" w:rsidRPr="249B2C69">
        <w:rPr>
          <w:noProof/>
          <w:lang w:val="en-IE"/>
        </w:rPr>
        <w:t>it was burdensome/time-consuming to have to submit company information separately to other authorities than the business registers</w:t>
      </w:r>
      <w:r w:rsidR="004376DA" w:rsidRPr="249B2C69">
        <w:rPr>
          <w:noProof/>
          <w:lang w:val="en-IE"/>
        </w:rPr>
        <w:t>.</w:t>
      </w:r>
      <w:r w:rsidR="0090644D" w:rsidRPr="249B2C69">
        <w:rPr>
          <w:noProof/>
          <w:lang w:val="en-IE"/>
        </w:rPr>
        <w:t xml:space="preserve"> </w:t>
      </w:r>
      <w:r w:rsidR="004144FB" w:rsidRPr="249B2C69">
        <w:rPr>
          <w:rFonts w:eastAsia="Times New Roman"/>
          <w:noProof/>
          <w:lang w:val="en-IE" w:eastAsia="en-IE"/>
        </w:rPr>
        <w:t xml:space="preserve">Similarly, </w:t>
      </w:r>
      <w:r w:rsidR="0090644D" w:rsidRPr="249B2C69">
        <w:rPr>
          <w:rFonts w:eastAsia="Times New Roman"/>
          <w:noProof/>
          <w:lang w:val="en-IE" w:eastAsia="en-IE"/>
        </w:rPr>
        <w:t xml:space="preserve">as regards </w:t>
      </w:r>
      <w:r w:rsidR="0090644D" w:rsidRPr="249B2C69">
        <w:rPr>
          <w:noProof/>
          <w:lang w:val="en-IE"/>
        </w:rPr>
        <w:t>steps of the formation procedure, which cannot be carried out fully online</w:t>
      </w:r>
      <w:r w:rsidR="004144FB" w:rsidRPr="249B2C69">
        <w:rPr>
          <w:noProof/>
          <w:lang w:val="en-IE"/>
        </w:rPr>
        <w:t>,</w:t>
      </w:r>
      <w:r w:rsidR="004144FB" w:rsidRPr="249B2C69">
        <w:rPr>
          <w:b/>
          <w:i/>
          <w:noProof/>
          <w:lang w:val="en-IE"/>
        </w:rPr>
        <w:t xml:space="preserve"> </w:t>
      </w:r>
      <w:r w:rsidR="004144FB" w:rsidRPr="249B2C69">
        <w:rPr>
          <w:rFonts w:eastAsia="Times New Roman"/>
          <w:noProof/>
          <w:lang w:val="en-IE" w:eastAsia="en-IE"/>
        </w:rPr>
        <w:t>respondents mentioned registration with tax and social security authorities, which required separate, non-digital submissions to national authorities. In many cases, tax and social security registrations were still manual or disconnected from the company registry process.</w:t>
      </w:r>
      <w:r w:rsidR="00CB09DC" w:rsidRPr="249B2C69">
        <w:rPr>
          <w:rFonts w:eastAsia="Times New Roman"/>
          <w:noProof/>
          <w:lang w:val="en-IE" w:eastAsia="en-IE"/>
        </w:rPr>
        <w:t xml:space="preserve"> Cr</w:t>
      </w:r>
      <w:r w:rsidR="00A64E82" w:rsidRPr="249B2C69">
        <w:rPr>
          <w:rFonts w:eastAsia="Times New Roman"/>
          <w:noProof/>
          <w:lang w:val="en-IE" w:eastAsia="en-IE"/>
        </w:rPr>
        <w:t xml:space="preserve">oss‑border filings with multiple authorities </w:t>
      </w:r>
      <w:r w:rsidR="00F24658" w:rsidRPr="249B2C69">
        <w:rPr>
          <w:rFonts w:eastAsia="Times New Roman"/>
          <w:noProof/>
          <w:lang w:val="en-IE" w:eastAsia="en-IE"/>
        </w:rPr>
        <w:t xml:space="preserve">were </w:t>
      </w:r>
      <w:r w:rsidR="00CB09DC" w:rsidRPr="249B2C69">
        <w:rPr>
          <w:rFonts w:eastAsia="Times New Roman"/>
          <w:noProof/>
          <w:lang w:val="en-IE" w:eastAsia="en-IE"/>
        </w:rPr>
        <w:t>also</w:t>
      </w:r>
      <w:r w:rsidR="00F24658" w:rsidRPr="249B2C69">
        <w:rPr>
          <w:rFonts w:eastAsia="Times New Roman"/>
          <w:noProof/>
          <w:lang w:val="en-IE" w:eastAsia="en-IE"/>
        </w:rPr>
        <w:t xml:space="preserve"> mentioned as one of the reasons why the formation process takes too long.</w:t>
      </w:r>
    </w:p>
    <w:p w14:paraId="30EF1CEB" w14:textId="4FCC8686" w:rsidR="00C1400C" w:rsidRPr="007073AD" w:rsidRDefault="00AE61DF" w:rsidP="00C1400C">
      <w:pPr>
        <w:spacing w:after="120"/>
        <w:rPr>
          <w:rFonts w:eastAsia="Times New Roman"/>
          <w:noProof/>
          <w:lang w:val="en-IE" w:eastAsia="en-IE"/>
        </w:rPr>
      </w:pPr>
      <w:r w:rsidRPr="249B2C69">
        <w:rPr>
          <w:rFonts w:eastAsia="Times New Roman"/>
          <w:noProof/>
          <w:lang w:val="en-IE" w:eastAsia="en-IE"/>
        </w:rPr>
        <w:t>90% (836) of respondents who considered it a barrier that company information must be submitted separately to authorities other than the business register</w:t>
      </w:r>
      <w:r w:rsidR="007900D8" w:rsidRPr="249B2C69">
        <w:rPr>
          <w:rFonts w:eastAsia="Times New Roman"/>
          <w:noProof/>
          <w:lang w:val="en-IE" w:eastAsia="en-IE"/>
        </w:rPr>
        <w:t>,</w:t>
      </w:r>
      <w:r w:rsidRPr="249B2C69">
        <w:rPr>
          <w:rFonts w:eastAsia="Times New Roman"/>
          <w:noProof/>
          <w:lang w:val="en-IE" w:eastAsia="en-IE"/>
        </w:rPr>
        <w:t xml:space="preserve"> indicated </w:t>
      </w:r>
      <w:r w:rsidR="00706594" w:rsidRPr="249B2C69">
        <w:rPr>
          <w:rFonts w:eastAsia="Times New Roman"/>
          <w:noProof/>
          <w:lang w:val="en-IE" w:eastAsia="en-IE"/>
        </w:rPr>
        <w:t xml:space="preserve">that </w:t>
      </w:r>
      <w:r w:rsidR="00706594" w:rsidRPr="00C26DDA">
        <w:rPr>
          <w:rFonts w:eastAsia="Times New Roman"/>
          <w:noProof/>
          <w:lang w:val="en-IE" w:eastAsia="en-IE"/>
        </w:rPr>
        <w:t xml:space="preserve">information had to be submitted to </w:t>
      </w:r>
      <w:r w:rsidRPr="00C26DDA">
        <w:rPr>
          <w:rFonts w:eastAsia="Times New Roman"/>
          <w:noProof/>
          <w:lang w:val="en-IE" w:eastAsia="en-IE"/>
        </w:rPr>
        <w:t>tax authoritie</w:t>
      </w:r>
      <w:r w:rsidRPr="249B2C69">
        <w:rPr>
          <w:rFonts w:eastAsia="Times New Roman"/>
          <w:noProof/>
          <w:lang w:val="en-IE" w:eastAsia="en-IE"/>
        </w:rPr>
        <w:t>s</w:t>
      </w:r>
      <w:r w:rsidR="00706594" w:rsidRPr="249B2C69">
        <w:rPr>
          <w:rFonts w:eastAsia="Times New Roman"/>
          <w:noProof/>
          <w:lang w:val="en-IE" w:eastAsia="en-IE"/>
        </w:rPr>
        <w:t>,</w:t>
      </w:r>
      <w:r w:rsidRPr="249B2C69">
        <w:rPr>
          <w:rFonts w:eastAsia="Times New Roman"/>
          <w:noProof/>
          <w:lang w:val="en-IE" w:eastAsia="en-IE"/>
        </w:rPr>
        <w:t xml:space="preserve"> in the context of obtaining a Tax Identification Number (TIN), 67% - </w:t>
      </w:r>
      <w:r w:rsidR="00706594" w:rsidRPr="00C26DDA">
        <w:rPr>
          <w:rFonts w:eastAsia="Times New Roman"/>
          <w:noProof/>
          <w:lang w:val="en-IE" w:eastAsia="en-IE"/>
        </w:rPr>
        <w:t xml:space="preserve">to </w:t>
      </w:r>
      <w:r w:rsidRPr="00C26DDA">
        <w:rPr>
          <w:rFonts w:eastAsia="Times New Roman"/>
          <w:noProof/>
          <w:lang w:val="en-IE" w:eastAsia="en-IE"/>
        </w:rPr>
        <w:t>social security funds or other competent authority due to requirements related to social security obligations</w:t>
      </w:r>
      <w:r w:rsidRPr="249B2C69">
        <w:rPr>
          <w:rFonts w:eastAsia="Times New Roman"/>
          <w:noProof/>
          <w:lang w:val="en-IE" w:eastAsia="en-IE"/>
        </w:rPr>
        <w:t xml:space="preserve">, 55% - the </w:t>
      </w:r>
      <w:r w:rsidRPr="00C26DDA">
        <w:rPr>
          <w:rFonts w:eastAsia="Times New Roman"/>
          <w:noProof/>
          <w:lang w:val="en-IE" w:eastAsia="en-IE"/>
        </w:rPr>
        <w:t>relevant authority related to anti-money laundering issues</w:t>
      </w:r>
      <w:r w:rsidRPr="249B2C69">
        <w:rPr>
          <w:rFonts w:eastAsia="Times New Roman"/>
          <w:noProof/>
          <w:lang w:val="en-IE" w:eastAsia="en-IE"/>
        </w:rPr>
        <w:t xml:space="preserve"> and 36% - </w:t>
      </w:r>
      <w:r w:rsidRPr="00C26DDA">
        <w:rPr>
          <w:rFonts w:eastAsia="Times New Roman"/>
          <w:noProof/>
          <w:lang w:val="en-IE" w:eastAsia="en-IE"/>
        </w:rPr>
        <w:t>tax authorities for other tax purposes</w:t>
      </w:r>
      <w:r w:rsidR="00706594" w:rsidRPr="249B2C69">
        <w:rPr>
          <w:rFonts w:eastAsia="Times New Roman"/>
          <w:noProof/>
          <w:lang w:val="en-IE" w:eastAsia="en-IE"/>
        </w:rPr>
        <w:t xml:space="preserve">; and </w:t>
      </w:r>
      <w:r w:rsidRPr="249B2C69">
        <w:rPr>
          <w:rFonts w:eastAsia="Times New Roman"/>
          <w:noProof/>
          <w:lang w:val="en-IE" w:eastAsia="en-IE"/>
        </w:rPr>
        <w:t xml:space="preserve">24% mentioned </w:t>
      </w:r>
      <w:r w:rsidRPr="00C26DDA">
        <w:rPr>
          <w:rFonts w:eastAsia="Times New Roman"/>
          <w:noProof/>
          <w:lang w:val="en-IE" w:eastAsia="en-IE"/>
        </w:rPr>
        <w:t>other authorities</w:t>
      </w:r>
      <w:r w:rsidRPr="249B2C69">
        <w:rPr>
          <w:rFonts w:eastAsia="Times New Roman"/>
          <w:noProof/>
          <w:lang w:val="en-IE" w:eastAsia="en-IE"/>
        </w:rPr>
        <w:t xml:space="preserve"> </w:t>
      </w:r>
      <w:r w:rsidR="00CC1ABD" w:rsidRPr="249B2C69">
        <w:rPr>
          <w:rFonts w:eastAsia="Times New Roman"/>
          <w:noProof/>
          <w:lang w:val="en-IE" w:eastAsia="en-IE"/>
        </w:rPr>
        <w:t xml:space="preserve">(e.g. data protection authorities (for data controllers), intellectual property offices, central bank authorities for foreign direct investment approvals, health and safety inspectorates, etc.) </w:t>
      </w:r>
      <w:r w:rsidRPr="249B2C69">
        <w:rPr>
          <w:rFonts w:eastAsia="Times New Roman"/>
          <w:noProof/>
          <w:lang w:val="en-IE" w:eastAsia="en-IE"/>
        </w:rPr>
        <w:t xml:space="preserve">and purposes. </w:t>
      </w:r>
      <w:r w:rsidR="00CC1ABD" w:rsidRPr="249B2C69">
        <w:rPr>
          <w:rFonts w:eastAsia="Times New Roman"/>
          <w:noProof/>
          <w:lang w:val="en-IE" w:eastAsia="en-IE"/>
        </w:rPr>
        <w:t xml:space="preserve">As to other purposes, respondents </w:t>
      </w:r>
      <w:r w:rsidR="00C1400C" w:rsidRPr="249B2C69">
        <w:rPr>
          <w:rFonts w:eastAsia="Times New Roman"/>
          <w:noProof/>
          <w:lang w:val="en-IE" w:eastAsia="en-IE"/>
        </w:rPr>
        <w:t>mentioned</w:t>
      </w:r>
      <w:r w:rsidR="00CC1ABD" w:rsidRPr="249B2C69">
        <w:rPr>
          <w:rFonts w:eastAsia="Times New Roman"/>
          <w:noProof/>
          <w:lang w:val="en-IE" w:eastAsia="en-IE"/>
        </w:rPr>
        <w:t>, among others,</w:t>
      </w:r>
      <w:r w:rsidR="00C1400C" w:rsidRPr="249B2C69">
        <w:rPr>
          <w:rFonts w:eastAsia="Times New Roman"/>
          <w:noProof/>
          <w:lang w:val="en-IE" w:eastAsia="en-IE"/>
        </w:rPr>
        <w:t xml:space="preserve"> corporate income tax registration,</w:t>
      </w:r>
      <w:r w:rsidR="00C1400C" w:rsidRPr="249B2C69">
        <w:rPr>
          <w:noProof/>
          <w:lang w:val="en-IE"/>
        </w:rPr>
        <w:t xml:space="preserve"> </w:t>
      </w:r>
      <w:r w:rsidR="00C1400C" w:rsidRPr="249B2C69">
        <w:rPr>
          <w:rFonts w:eastAsia="Times New Roman"/>
          <w:noProof/>
          <w:lang w:val="en-IE" w:eastAsia="en-IE"/>
        </w:rPr>
        <w:t>VAT registration, and declarations required for business activity classification or advance payments under national tax regimes</w:t>
      </w:r>
      <w:r w:rsidR="006B5FB1" w:rsidRPr="249B2C69">
        <w:rPr>
          <w:rFonts w:eastAsia="Times New Roman"/>
          <w:noProof/>
          <w:lang w:val="en-IE" w:eastAsia="en-IE"/>
        </w:rPr>
        <w:t>;</w:t>
      </w:r>
      <w:r w:rsidR="00C1400C" w:rsidRPr="249B2C69">
        <w:rPr>
          <w:rFonts w:eastAsia="Times New Roman"/>
          <w:noProof/>
          <w:lang w:val="en-IE" w:eastAsia="en-IE"/>
        </w:rPr>
        <w:t xml:space="preserve"> these </w:t>
      </w:r>
      <w:r w:rsidR="006B5FB1" w:rsidRPr="249B2C69">
        <w:rPr>
          <w:rFonts w:eastAsia="Times New Roman"/>
          <w:noProof/>
          <w:lang w:val="en-IE" w:eastAsia="en-IE"/>
        </w:rPr>
        <w:t xml:space="preserve">were said to </w:t>
      </w:r>
      <w:r w:rsidR="00C1400C" w:rsidRPr="249B2C69">
        <w:rPr>
          <w:rFonts w:eastAsia="Times New Roman"/>
          <w:noProof/>
          <w:lang w:val="en-IE" w:eastAsia="en-IE"/>
        </w:rPr>
        <w:t>prolong the company formation process and duplicate information already provided to business registries.</w:t>
      </w:r>
    </w:p>
    <w:p w14:paraId="17279BD4" w14:textId="7FAF9CDC" w:rsidR="00CF5443" w:rsidRPr="007073AD" w:rsidRDefault="00CF5443" w:rsidP="00CF5443">
      <w:pPr>
        <w:pStyle w:val="ListParagraph"/>
        <w:spacing w:after="120"/>
        <w:ind w:left="0"/>
        <w:contextualSpacing w:val="0"/>
        <w:rPr>
          <w:rFonts w:eastAsia="Times New Roman"/>
          <w:noProof/>
        </w:rPr>
      </w:pPr>
      <w:r>
        <w:rPr>
          <w:rFonts w:eastAsia="Calibri"/>
          <w:noProof/>
        </w:rPr>
        <w:t xml:space="preserve">When asked about specific digital tools and solutions, </w:t>
      </w:r>
      <w:r w:rsidRPr="00BA656C">
        <w:rPr>
          <w:rFonts w:eastAsia="Times New Roman"/>
          <w:noProof/>
        </w:rPr>
        <w:t xml:space="preserve">89% of respondents </w:t>
      </w:r>
      <w:r>
        <w:rPr>
          <w:rFonts w:eastAsia="Times New Roman"/>
          <w:noProof/>
        </w:rPr>
        <w:t xml:space="preserve">thought </w:t>
      </w:r>
      <w:r w:rsidRPr="00BA656C">
        <w:rPr>
          <w:rFonts w:eastAsia="Times New Roman"/>
          <w:noProof/>
        </w:rPr>
        <w:t xml:space="preserve">that application of the once-only principle would contribute to either a </w:t>
      </w:r>
      <w:r w:rsidRPr="00865F7C">
        <w:rPr>
          <w:rFonts w:eastAsia="Times New Roman"/>
          <w:bCs/>
          <w:noProof/>
        </w:rPr>
        <w:t xml:space="preserve">very large </w:t>
      </w:r>
      <w:r w:rsidRPr="00CF5443">
        <w:rPr>
          <w:rFonts w:eastAsia="Times New Roman"/>
          <w:bCs/>
          <w:noProof/>
        </w:rPr>
        <w:t xml:space="preserve">(80%) or </w:t>
      </w:r>
      <w:r w:rsidRPr="00865F7C">
        <w:rPr>
          <w:rFonts w:eastAsia="Times New Roman"/>
          <w:bCs/>
          <w:noProof/>
        </w:rPr>
        <w:t>large extent</w:t>
      </w:r>
      <w:r w:rsidRPr="00BA656C">
        <w:rPr>
          <w:rFonts w:eastAsia="Times New Roman"/>
          <w:b/>
          <w:noProof/>
        </w:rPr>
        <w:t xml:space="preserve"> </w:t>
      </w:r>
      <w:r w:rsidRPr="00BA656C">
        <w:rPr>
          <w:rFonts w:eastAsia="Times New Roman"/>
          <w:noProof/>
        </w:rPr>
        <w:t>(9%) to a fast and efficient setting up of 28</w:t>
      </w:r>
      <w:r w:rsidRPr="009E450A">
        <w:rPr>
          <w:rFonts w:eastAsia="Times New Roman"/>
          <w:noProof/>
          <w:vertAlign w:val="superscript"/>
        </w:rPr>
        <w:t>th</w:t>
      </w:r>
      <w:r w:rsidRPr="00BA656C">
        <w:rPr>
          <w:rFonts w:eastAsia="Times New Roman"/>
          <w:noProof/>
        </w:rPr>
        <w:t xml:space="preserve"> regime companies.</w:t>
      </w:r>
    </w:p>
    <w:p w14:paraId="0721A178" w14:textId="0EE55DC3" w:rsidR="008561A5" w:rsidRDefault="008561A5" w:rsidP="000A0753">
      <w:pPr>
        <w:spacing w:after="120"/>
        <w:rPr>
          <w:rFonts w:eastAsia="Calibri"/>
          <w:b/>
          <w:bCs/>
          <w:i/>
          <w:iCs/>
          <w:noProof/>
        </w:rPr>
      </w:pPr>
      <w:r>
        <w:rPr>
          <w:rFonts w:eastAsia="Calibri"/>
          <w:b/>
          <w:bCs/>
          <w:i/>
          <w:iCs/>
          <w:noProof/>
        </w:rPr>
        <w:t xml:space="preserve">Operations </w:t>
      </w:r>
      <w:r w:rsidR="00217843">
        <w:rPr>
          <w:rFonts w:eastAsia="Calibri"/>
          <w:b/>
          <w:bCs/>
          <w:i/>
          <w:iCs/>
          <w:noProof/>
        </w:rPr>
        <w:t>of companies</w:t>
      </w:r>
    </w:p>
    <w:p w14:paraId="3E6058DF" w14:textId="2C4AA79B" w:rsidR="00635778" w:rsidRPr="007073AD" w:rsidRDefault="00635778" w:rsidP="00635778">
      <w:pPr>
        <w:spacing w:after="120"/>
        <w:rPr>
          <w:noProof/>
        </w:rPr>
      </w:pPr>
      <w:r w:rsidRPr="249B2C69">
        <w:rPr>
          <w:noProof/>
          <w:lang w:val="en-IE"/>
        </w:rPr>
        <w:t xml:space="preserve">74% of respondents considered the insufficient availability of digital tools and procedures related to operation of companies, e.g. digital general meetings, online filing, as being a problem to a large or very large extent. </w:t>
      </w:r>
    </w:p>
    <w:p w14:paraId="1A3D7535" w14:textId="77777777" w:rsidR="003A55AF" w:rsidRPr="007073AD" w:rsidRDefault="003A55AF" w:rsidP="003A55AF">
      <w:pPr>
        <w:spacing w:after="120"/>
        <w:rPr>
          <w:noProof/>
        </w:rPr>
      </w:pPr>
      <w:r w:rsidRPr="249B2C69">
        <w:rPr>
          <w:noProof/>
          <w:lang w:val="en-IE"/>
        </w:rPr>
        <w:t>79% of the respondents to the public consultation considered that the hassle costs (such as unnecessary waiting time, delays) related to the operating a company were high or very high. 80% considered the administrative burden related to operating as being high or very high.</w:t>
      </w:r>
    </w:p>
    <w:p w14:paraId="5A84261F" w14:textId="4AA3DE27" w:rsidR="00C337D5" w:rsidRPr="002502E3" w:rsidRDefault="00841735" w:rsidP="00C337D5">
      <w:pPr>
        <w:spacing w:after="120"/>
        <w:rPr>
          <w:noProof/>
        </w:rPr>
      </w:pPr>
      <w:r w:rsidRPr="00841735">
        <w:rPr>
          <w:bCs/>
          <w:noProof/>
          <w:lang w:eastAsia="en-IE"/>
        </w:rPr>
        <w:t xml:space="preserve">During the operational phase, </w:t>
      </w:r>
      <w:r w:rsidRPr="00841735">
        <w:rPr>
          <w:bCs/>
          <w:noProof/>
        </w:rPr>
        <w:t>one</w:t>
      </w:r>
      <w:r w:rsidRPr="00AC3D6A">
        <w:rPr>
          <w:noProof/>
        </w:rPr>
        <w:t xml:space="preserve"> of the most important procedures is to amend the </w:t>
      </w:r>
      <w:r w:rsidRPr="00967BF9">
        <w:rPr>
          <w:b/>
          <w:bCs/>
          <w:noProof/>
        </w:rPr>
        <w:t>Instrument of Constitution/Articles of Association</w:t>
      </w:r>
      <w:r w:rsidRPr="00AC3D6A">
        <w:rPr>
          <w:noProof/>
        </w:rPr>
        <w:t xml:space="preserve">, which is necessary </w:t>
      </w:r>
      <w:r w:rsidRPr="00152780">
        <w:rPr>
          <w:noProof/>
        </w:rPr>
        <w:t>for</w:t>
      </w:r>
      <w:r w:rsidRPr="00AC3D6A">
        <w:rPr>
          <w:noProof/>
        </w:rPr>
        <w:t xml:space="preserve"> any changes to the management structure, decision-making processes, investors, profit distribution or corporate restructuring such as mergers</w:t>
      </w:r>
      <w:r>
        <w:rPr>
          <w:noProof/>
        </w:rPr>
        <w:t xml:space="preserve"> and</w:t>
      </w:r>
      <w:r w:rsidRPr="00AC3D6A">
        <w:rPr>
          <w:noProof/>
        </w:rPr>
        <w:t xml:space="preserve"> capital increases</w:t>
      </w:r>
      <w:r w:rsidR="00245696">
        <w:rPr>
          <w:noProof/>
        </w:rPr>
        <w:t xml:space="preserve">, and questions about </w:t>
      </w:r>
      <w:r w:rsidR="00245696" w:rsidRPr="00AC3D6A">
        <w:rPr>
          <w:noProof/>
        </w:rPr>
        <w:t>the Instrument of Constitution/Articles of Association</w:t>
      </w:r>
      <w:r w:rsidR="00245696">
        <w:rPr>
          <w:noProof/>
        </w:rPr>
        <w:t xml:space="preserve"> were also included in the consultation</w:t>
      </w:r>
      <w:r w:rsidRPr="00D66906">
        <w:rPr>
          <w:noProof/>
        </w:rPr>
        <w:t>.</w:t>
      </w:r>
      <w:r w:rsidR="000D0776" w:rsidRPr="007073AD">
        <w:rPr>
          <w:noProof/>
        </w:rPr>
        <w:t xml:space="preserve"> </w:t>
      </w:r>
      <w:r w:rsidR="00C337D5" w:rsidRPr="007073AD">
        <w:rPr>
          <w:noProof/>
        </w:rPr>
        <w:t xml:space="preserve">When asked about the </w:t>
      </w:r>
      <w:r w:rsidR="00C337D5" w:rsidRPr="007073AD">
        <w:rPr>
          <w:b/>
          <w:noProof/>
        </w:rPr>
        <w:t>practical difficulties when amending the Instrument of Constitution/Articles of Association</w:t>
      </w:r>
      <w:r w:rsidR="00C337D5" w:rsidRPr="007073AD">
        <w:rPr>
          <w:noProof/>
        </w:rPr>
        <w:t xml:space="preserve">, 80% of respondents said that the lack of fully digital procedures and limited acceptance of electronic signatures across jurisdictions either from Member States (or 70% - from third countries) causes practical difficulties to a large or very large extent. According to around 50% it was also problematic (to a large or very large extent) that the adoption of amendments took too long due to the involvement of intermediaries and lack of clarity about the applicable legal framework to amend the Instrument of Constitution/Articles of Association (e.g. required steps, authorities/intermediaries involved, timeline for approval and registration). No English language version of the template, the lack of online general meetings, challenges with shareholder identification were assessed as problematic by around 40% of respondents. </w:t>
      </w:r>
      <w:r w:rsidR="00C337D5">
        <w:rPr>
          <w:noProof/>
        </w:rPr>
        <w:t>R</w:t>
      </w:r>
      <w:r w:rsidR="00C337D5" w:rsidRPr="002502E3">
        <w:rPr>
          <w:noProof/>
        </w:rPr>
        <w:t>espondents, including companies</w:t>
      </w:r>
      <w:r w:rsidR="00C337D5">
        <w:rPr>
          <w:noProof/>
        </w:rPr>
        <w:t xml:space="preserve"> and</w:t>
      </w:r>
      <w:r w:rsidR="00C337D5" w:rsidRPr="002502E3" w:rsidDel="0091554B">
        <w:rPr>
          <w:noProof/>
        </w:rPr>
        <w:t xml:space="preserve"> </w:t>
      </w:r>
      <w:r w:rsidR="00C337D5" w:rsidRPr="002502E3">
        <w:rPr>
          <w:noProof/>
        </w:rPr>
        <w:t>citizens (mainly founders and investors),</w:t>
      </w:r>
      <w:r w:rsidR="00C337D5">
        <w:rPr>
          <w:noProof/>
        </w:rPr>
        <w:t xml:space="preserve"> also </w:t>
      </w:r>
      <w:r w:rsidR="00C337D5" w:rsidRPr="002502E3">
        <w:rPr>
          <w:noProof/>
        </w:rPr>
        <w:t>report</w:t>
      </w:r>
      <w:r w:rsidR="00C337D5">
        <w:rPr>
          <w:noProof/>
        </w:rPr>
        <w:t>ed</w:t>
      </w:r>
      <w:r w:rsidR="00C337D5" w:rsidRPr="002502E3">
        <w:rPr>
          <w:noProof/>
        </w:rPr>
        <w:t xml:space="preserve"> practical difficulties, such as cross-border procedural burdens (e.g., notarial deeds, apostilles/legalisation, certified translations, registry checks), fragmentation and lack of interoperability between national procedures, reliance on intermediaries for each change, and registry inefficiencies (e.g., paper filings, mandatory notarisation, local publications, variable fees). </w:t>
      </w:r>
    </w:p>
    <w:p w14:paraId="02F7DD93" w14:textId="1AB74F34" w:rsidR="00C87062" w:rsidRDefault="00245696" w:rsidP="00C87062">
      <w:pPr>
        <w:spacing w:after="120"/>
        <w:rPr>
          <w:noProof/>
        </w:rPr>
      </w:pPr>
      <w:r w:rsidRPr="007073AD">
        <w:rPr>
          <w:noProof/>
        </w:rPr>
        <w:t xml:space="preserve">58% </w:t>
      </w:r>
      <w:r w:rsidR="00003642" w:rsidRPr="007073AD">
        <w:rPr>
          <w:noProof/>
        </w:rPr>
        <w:t xml:space="preserve">of respondents </w:t>
      </w:r>
      <w:r w:rsidR="00252A74" w:rsidRPr="007073AD">
        <w:rPr>
          <w:noProof/>
        </w:rPr>
        <w:t xml:space="preserve">were in favour of </w:t>
      </w:r>
      <w:r w:rsidR="00003642" w:rsidRPr="007073AD">
        <w:rPr>
          <w:noProof/>
        </w:rPr>
        <w:t>mak</w:t>
      </w:r>
      <w:r w:rsidR="00252A74" w:rsidRPr="007073AD">
        <w:rPr>
          <w:noProof/>
        </w:rPr>
        <w:t>ing</w:t>
      </w:r>
      <w:r w:rsidR="00003642" w:rsidRPr="007073AD">
        <w:rPr>
          <w:noProof/>
        </w:rPr>
        <w:t xml:space="preserve"> the use of standardised template of the Instrument of Constitution/Articles of Association mandatory for 28</w:t>
      </w:r>
      <w:r w:rsidR="00003642" w:rsidRPr="007073AD">
        <w:rPr>
          <w:noProof/>
          <w:vertAlign w:val="superscript"/>
        </w:rPr>
        <w:t>th</w:t>
      </w:r>
      <w:r w:rsidR="00003642" w:rsidRPr="007073AD">
        <w:rPr>
          <w:noProof/>
        </w:rPr>
        <w:t xml:space="preserve"> regime companies, while allowing some flexibility through pre-determined optional clauses (e.g. voting rights, profit distribution, board rules). </w:t>
      </w:r>
      <w:r w:rsidR="00003642" w:rsidRPr="00AB22C2">
        <w:rPr>
          <w:noProof/>
        </w:rPr>
        <w:t xml:space="preserve">Around 30% preferred </w:t>
      </w:r>
      <w:r w:rsidR="00003642">
        <w:rPr>
          <w:noProof/>
        </w:rPr>
        <w:t>to be able to choose between</w:t>
      </w:r>
      <w:r w:rsidR="00003642" w:rsidRPr="00AB22C2">
        <w:rPr>
          <w:noProof/>
        </w:rPr>
        <w:t xml:space="preserve"> an optional standardised template or tailor-made Articles of Association, </w:t>
      </w:r>
      <w:r w:rsidR="00252A74">
        <w:rPr>
          <w:noProof/>
        </w:rPr>
        <w:t>and</w:t>
      </w:r>
      <w:r w:rsidR="00003642" w:rsidRPr="00AB22C2">
        <w:rPr>
          <w:noProof/>
        </w:rPr>
        <w:t xml:space="preserve"> 8% supported a fully mandatory model without any modification possibilities.</w:t>
      </w:r>
      <w:r w:rsidR="00967BF9">
        <w:rPr>
          <w:noProof/>
        </w:rPr>
        <w:t xml:space="preserve"> </w:t>
      </w:r>
      <w:r w:rsidR="00BA2297">
        <w:rPr>
          <w:noProof/>
        </w:rPr>
        <w:t>B</w:t>
      </w:r>
      <w:r w:rsidR="00C86EC0" w:rsidRPr="00FE0AC5">
        <w:rPr>
          <w:rFonts w:eastAsia="Times New Roman"/>
          <w:noProof/>
        </w:rPr>
        <w:t>usiness associations</w:t>
      </w:r>
      <w:r w:rsidR="00C86EC0">
        <w:rPr>
          <w:rFonts w:eastAsia="Times New Roman"/>
          <w:noProof/>
        </w:rPr>
        <w:t>,</w:t>
      </w:r>
      <w:r w:rsidR="00C86EC0" w:rsidRPr="00FE0AC5">
        <w:rPr>
          <w:rFonts w:eastAsia="Times New Roman"/>
          <w:noProof/>
        </w:rPr>
        <w:t xml:space="preserve"> companies</w:t>
      </w:r>
      <w:r w:rsidR="00C86EC0">
        <w:rPr>
          <w:rFonts w:eastAsia="Times New Roman"/>
          <w:noProof/>
        </w:rPr>
        <w:t xml:space="preserve"> and</w:t>
      </w:r>
      <w:r w:rsidR="00C86EC0" w:rsidRPr="00FE0AC5">
        <w:rPr>
          <w:rFonts w:eastAsia="Times New Roman"/>
          <w:noProof/>
        </w:rPr>
        <w:t xml:space="preserve"> citizens (mainly founders and investors)</w:t>
      </w:r>
      <w:r w:rsidR="00621944">
        <w:rPr>
          <w:rFonts w:eastAsia="Times New Roman"/>
          <w:noProof/>
        </w:rPr>
        <w:t>,</w:t>
      </w:r>
      <w:r w:rsidR="00C86EC0" w:rsidRPr="00FE0AC5">
        <w:rPr>
          <w:rFonts w:eastAsia="Times New Roman"/>
          <w:noProof/>
        </w:rPr>
        <w:t xml:space="preserve"> </w:t>
      </w:r>
      <w:r w:rsidR="00621944">
        <w:rPr>
          <w:rFonts w:eastAsia="Times New Roman"/>
          <w:noProof/>
        </w:rPr>
        <w:t>who provided further comments,</w:t>
      </w:r>
      <w:r w:rsidR="00003642" w:rsidRPr="00AB22C2">
        <w:rPr>
          <w:noProof/>
        </w:rPr>
        <w:t xml:space="preserve"> </w:t>
      </w:r>
      <w:r w:rsidR="00926983" w:rsidRPr="00FE0AC5">
        <w:rPr>
          <w:rFonts w:eastAsia="Times New Roman"/>
          <w:noProof/>
        </w:rPr>
        <w:t>favoured a modular framework built around a standardised core for speed of incorporation, complemented by optional clauses allowing adaptation to different business models.</w:t>
      </w:r>
      <w:r w:rsidR="00493D85" w:rsidRPr="00493D85">
        <w:rPr>
          <w:rFonts w:eastAsia="Times New Roman"/>
          <w:noProof/>
        </w:rPr>
        <w:t xml:space="preserve"> </w:t>
      </w:r>
      <w:r w:rsidR="00493D85">
        <w:rPr>
          <w:rFonts w:eastAsia="Times New Roman"/>
          <w:noProof/>
        </w:rPr>
        <w:t>On the other hand, t</w:t>
      </w:r>
      <w:r w:rsidR="00493D85" w:rsidRPr="581C117B">
        <w:rPr>
          <w:rFonts w:eastAsia="Times New Roman"/>
          <w:noProof/>
        </w:rPr>
        <w:t>rade unions favoured the use of expert-group-developed standard clauses to ensure transparency, equal opportunities, and adequate protection of creditors, minority shareholders, and employees. Notaries</w:t>
      </w:r>
      <w:r w:rsidR="00493D85">
        <w:rPr>
          <w:rFonts w:eastAsia="Times New Roman"/>
          <w:noProof/>
        </w:rPr>
        <w:t>’</w:t>
      </w:r>
      <w:r w:rsidR="00493D85" w:rsidRPr="581C117B">
        <w:rPr>
          <w:rFonts w:eastAsia="Times New Roman"/>
          <w:noProof/>
        </w:rPr>
        <w:t xml:space="preserve"> </w:t>
      </w:r>
      <w:r w:rsidR="00493D85">
        <w:rPr>
          <w:rFonts w:eastAsia="Times New Roman"/>
          <w:noProof/>
        </w:rPr>
        <w:t>associations</w:t>
      </w:r>
      <w:r w:rsidR="00493D85" w:rsidRPr="581C117B">
        <w:rPr>
          <w:rFonts w:eastAsia="Times New Roman"/>
          <w:noProof/>
        </w:rPr>
        <w:t xml:space="preserve"> were generally opposed to EU-wide templates, arguing that divergent national legal systems make harmonisation difficult.</w:t>
      </w:r>
      <w:r w:rsidR="00651E88">
        <w:rPr>
          <w:rFonts w:eastAsia="Times New Roman"/>
          <w:noProof/>
        </w:rPr>
        <w:t xml:space="preserve"> When given a choice between </w:t>
      </w:r>
      <w:r w:rsidR="00510FAC" w:rsidRPr="00510FAC">
        <w:rPr>
          <w:rFonts w:eastAsia="Times New Roman"/>
          <w:bCs/>
          <w:iCs/>
          <w:noProof/>
        </w:rPr>
        <w:t>the use of a standardised template of Instrument of Constitution/Articles of Association and flexibility</w:t>
      </w:r>
      <w:r w:rsidR="00510FAC">
        <w:rPr>
          <w:rFonts w:eastAsia="Times New Roman"/>
          <w:bCs/>
          <w:iCs/>
          <w:noProof/>
        </w:rPr>
        <w:t xml:space="preserve">, </w:t>
      </w:r>
      <w:r w:rsidR="00C87062">
        <w:rPr>
          <w:noProof/>
        </w:rPr>
        <w:t>59% of respondents considered that it was more important to a</w:t>
      </w:r>
      <w:r w:rsidR="00C87062" w:rsidRPr="009236CA">
        <w:rPr>
          <w:noProof/>
        </w:rPr>
        <w:t xml:space="preserve">llow founders </w:t>
      </w:r>
      <w:r w:rsidR="00C87062">
        <w:rPr>
          <w:noProof/>
        </w:rPr>
        <w:t xml:space="preserve">some </w:t>
      </w:r>
      <w:r w:rsidR="00C87062" w:rsidRPr="009236CA">
        <w:rPr>
          <w:noProof/>
        </w:rPr>
        <w:t xml:space="preserve">flexibility to tailor their Instrument of Constitution/Articles of Association to their specific needs, even if this </w:t>
      </w:r>
      <w:r w:rsidR="00C87062">
        <w:rPr>
          <w:noProof/>
        </w:rPr>
        <w:t>may lead to</w:t>
      </w:r>
      <w:r w:rsidR="00C87062" w:rsidRPr="009236CA">
        <w:rPr>
          <w:noProof/>
        </w:rPr>
        <w:t xml:space="preserve"> longer registration times and </w:t>
      </w:r>
      <w:r w:rsidR="00C87062">
        <w:rPr>
          <w:noProof/>
        </w:rPr>
        <w:t xml:space="preserve">less </w:t>
      </w:r>
      <w:r w:rsidR="00C87062" w:rsidRPr="009236CA">
        <w:rPr>
          <w:noProof/>
        </w:rPr>
        <w:t>uniform</w:t>
      </w:r>
      <w:r w:rsidR="00C87062">
        <w:rPr>
          <w:noProof/>
        </w:rPr>
        <w:t>ity</w:t>
      </w:r>
      <w:r w:rsidR="00C87062" w:rsidRPr="009236CA">
        <w:rPr>
          <w:noProof/>
        </w:rPr>
        <w:t xml:space="preserve"> across the EU</w:t>
      </w:r>
      <w:r w:rsidR="00C87062">
        <w:rPr>
          <w:noProof/>
        </w:rPr>
        <w:t>, and around 34% prioritised</w:t>
      </w:r>
      <w:r w:rsidR="00C87062" w:rsidRPr="000E4FAA">
        <w:rPr>
          <w:noProof/>
        </w:rPr>
        <w:t xml:space="preserve"> faster company registration through a fully standardised template, even if this </w:t>
      </w:r>
      <w:r w:rsidR="00C87062">
        <w:rPr>
          <w:noProof/>
        </w:rPr>
        <w:t>would</w:t>
      </w:r>
      <w:r w:rsidR="00C87062" w:rsidRPr="000E4FAA">
        <w:rPr>
          <w:noProof/>
        </w:rPr>
        <w:t xml:space="preserve"> limit ability to customise governance structures</w:t>
      </w:r>
      <w:r w:rsidR="00C87062">
        <w:rPr>
          <w:noProof/>
        </w:rPr>
        <w:t>, while 7%</w:t>
      </w:r>
      <w:r w:rsidR="00C87062" w:rsidRPr="00DF25DB">
        <w:rPr>
          <w:noProof/>
        </w:rPr>
        <w:t xml:space="preserve"> </w:t>
      </w:r>
      <w:r w:rsidR="00C87062">
        <w:rPr>
          <w:noProof/>
        </w:rPr>
        <w:t>proposed other approaches.</w:t>
      </w:r>
      <w:r w:rsidR="006E335B" w:rsidRPr="006E335B">
        <w:rPr>
          <w:noProof/>
        </w:rPr>
        <w:t xml:space="preserve"> </w:t>
      </w:r>
    </w:p>
    <w:p w14:paraId="2431D663" w14:textId="210852A2" w:rsidR="00420FC4" w:rsidRDefault="00A70CA7" w:rsidP="00C87062">
      <w:pPr>
        <w:spacing w:after="120"/>
        <w:rPr>
          <w:noProof/>
        </w:rPr>
      </w:pPr>
      <w:r>
        <w:rPr>
          <w:noProof/>
        </w:rPr>
        <w:t xml:space="preserve">As regards the question whether companies currently face problems to </w:t>
      </w:r>
      <w:r w:rsidRPr="00F92CFB">
        <w:rPr>
          <w:b/>
          <w:bCs/>
          <w:noProof/>
        </w:rPr>
        <w:t>hold meetings online</w:t>
      </w:r>
      <w:r>
        <w:rPr>
          <w:noProof/>
        </w:rPr>
        <w:t xml:space="preserve">, the views of respondents where split, with </w:t>
      </w:r>
      <w:r w:rsidR="000C58B8" w:rsidRPr="001865EB">
        <w:rPr>
          <w:noProof/>
        </w:rPr>
        <w:t xml:space="preserve">41% </w:t>
      </w:r>
      <w:r w:rsidR="000C58B8">
        <w:rPr>
          <w:noProof/>
        </w:rPr>
        <w:t xml:space="preserve">- </w:t>
      </w:r>
      <w:r w:rsidR="000C58B8" w:rsidRPr="001865EB">
        <w:rPr>
          <w:noProof/>
        </w:rPr>
        <w:t>reporting positive experiences and 4</w:t>
      </w:r>
      <w:r w:rsidR="000C58B8">
        <w:rPr>
          <w:noProof/>
        </w:rPr>
        <w:t>1</w:t>
      </w:r>
      <w:r w:rsidR="000C58B8" w:rsidRPr="001865EB">
        <w:rPr>
          <w:noProof/>
        </w:rPr>
        <w:t xml:space="preserve">% </w:t>
      </w:r>
      <w:r w:rsidR="000C58B8">
        <w:rPr>
          <w:noProof/>
        </w:rPr>
        <w:t xml:space="preserve">- </w:t>
      </w:r>
      <w:r w:rsidR="000C58B8" w:rsidRPr="001865EB">
        <w:rPr>
          <w:noProof/>
        </w:rPr>
        <w:t>negative</w:t>
      </w:r>
      <w:r w:rsidR="000C58B8">
        <w:rPr>
          <w:noProof/>
        </w:rPr>
        <w:t>.</w:t>
      </w:r>
      <w:r w:rsidR="00476A29">
        <w:rPr>
          <w:noProof/>
        </w:rPr>
        <w:t xml:space="preserve"> </w:t>
      </w:r>
      <w:r w:rsidR="008B6F65" w:rsidRPr="001865EB">
        <w:rPr>
          <w:noProof/>
        </w:rPr>
        <w:t xml:space="preserve">Among those reporting </w:t>
      </w:r>
      <w:r w:rsidR="008B6F65">
        <w:rPr>
          <w:noProof/>
        </w:rPr>
        <w:t>problems</w:t>
      </w:r>
      <w:r w:rsidR="008B6F65" w:rsidRPr="001865EB">
        <w:rPr>
          <w:noProof/>
        </w:rPr>
        <w:t xml:space="preserve">, </w:t>
      </w:r>
      <w:r w:rsidR="008B6F65">
        <w:rPr>
          <w:noProof/>
        </w:rPr>
        <w:t xml:space="preserve">several </w:t>
      </w:r>
      <w:r w:rsidR="008B6F65" w:rsidRPr="001865EB">
        <w:rPr>
          <w:noProof/>
        </w:rPr>
        <w:t xml:space="preserve">business associations, </w:t>
      </w:r>
      <w:r w:rsidR="008B6F65">
        <w:rPr>
          <w:noProof/>
        </w:rPr>
        <w:t xml:space="preserve">a few </w:t>
      </w:r>
      <w:r w:rsidR="008B6F65" w:rsidRPr="001865EB">
        <w:rPr>
          <w:noProof/>
        </w:rPr>
        <w:t>competent authorities</w:t>
      </w:r>
      <w:r w:rsidR="008B6F65">
        <w:rPr>
          <w:noProof/>
        </w:rPr>
        <w:t xml:space="preserve"> and</w:t>
      </w:r>
      <w:r w:rsidR="008B6F65" w:rsidRPr="001865EB">
        <w:rPr>
          <w:noProof/>
        </w:rPr>
        <w:t xml:space="preserve"> legal professionals, companies, </w:t>
      </w:r>
      <w:r w:rsidR="008B6F65">
        <w:rPr>
          <w:noProof/>
        </w:rPr>
        <w:t xml:space="preserve">and </w:t>
      </w:r>
      <w:r w:rsidR="008B6F65" w:rsidRPr="001865EB">
        <w:rPr>
          <w:noProof/>
        </w:rPr>
        <w:t xml:space="preserve">citizens (mainly founders and investors) emphasised that while online and hybrid meetings </w:t>
      </w:r>
      <w:r w:rsidR="008B6F65">
        <w:rPr>
          <w:noProof/>
        </w:rPr>
        <w:t>we</w:t>
      </w:r>
      <w:r w:rsidR="008B6F65" w:rsidRPr="001865EB">
        <w:rPr>
          <w:noProof/>
        </w:rPr>
        <w:t xml:space="preserve">re increasingly recognised in principle, </w:t>
      </w:r>
      <w:r w:rsidR="008B6F65">
        <w:rPr>
          <w:noProof/>
        </w:rPr>
        <w:t xml:space="preserve">using them in </w:t>
      </w:r>
      <w:r w:rsidR="008B6F65" w:rsidRPr="001865EB">
        <w:rPr>
          <w:noProof/>
        </w:rPr>
        <w:t>practic</w:t>
      </w:r>
      <w:r w:rsidR="008B6F65">
        <w:rPr>
          <w:noProof/>
        </w:rPr>
        <w:t>e</w:t>
      </w:r>
      <w:r w:rsidR="008B6F65" w:rsidRPr="001865EB">
        <w:rPr>
          <w:noProof/>
        </w:rPr>
        <w:t xml:space="preserve"> </w:t>
      </w:r>
      <w:r w:rsidR="008B6F65">
        <w:rPr>
          <w:noProof/>
        </w:rPr>
        <w:t>wa</w:t>
      </w:r>
      <w:r w:rsidR="008B6F65" w:rsidRPr="001865EB">
        <w:rPr>
          <w:noProof/>
        </w:rPr>
        <w:t xml:space="preserve">s </w:t>
      </w:r>
      <w:r w:rsidR="008B6F65">
        <w:rPr>
          <w:noProof/>
        </w:rPr>
        <w:t xml:space="preserve">difficult due to </w:t>
      </w:r>
      <w:r w:rsidR="008B6F65" w:rsidRPr="001865EB">
        <w:rPr>
          <w:noProof/>
        </w:rPr>
        <w:t>fragmented national rules, legal and technical barriers and procedural requirements. Challenges</w:t>
      </w:r>
      <w:r w:rsidR="008B6F65">
        <w:rPr>
          <w:noProof/>
        </w:rPr>
        <w:t xml:space="preserve"> </w:t>
      </w:r>
      <w:r w:rsidR="008B6F65" w:rsidRPr="001865EB">
        <w:rPr>
          <w:noProof/>
        </w:rPr>
        <w:t>include</w:t>
      </w:r>
      <w:r w:rsidR="008B6F65">
        <w:rPr>
          <w:noProof/>
        </w:rPr>
        <w:t>d</w:t>
      </w:r>
      <w:r w:rsidR="008B6F65" w:rsidRPr="001865EB">
        <w:rPr>
          <w:noProof/>
        </w:rPr>
        <w:t xml:space="preserve"> identity verification across borders, uneven recognition of qualified </w:t>
      </w:r>
      <w:r w:rsidR="00332254">
        <w:rPr>
          <w:noProof/>
        </w:rPr>
        <w:br/>
      </w:r>
      <w:r w:rsidR="008B6F65" w:rsidRPr="001865EB">
        <w:rPr>
          <w:noProof/>
        </w:rPr>
        <w:t>e-signatures, proxy validation, e-voting standards and notarial or in-person formalities, which generate</w:t>
      </w:r>
      <w:r w:rsidR="008B6F65">
        <w:rPr>
          <w:noProof/>
        </w:rPr>
        <w:t>d</w:t>
      </w:r>
      <w:r w:rsidR="008B6F65" w:rsidRPr="001865EB">
        <w:rPr>
          <w:noProof/>
        </w:rPr>
        <w:t xml:space="preserve"> legal uncertainty</w:t>
      </w:r>
      <w:r w:rsidR="00487074">
        <w:rPr>
          <w:noProof/>
        </w:rPr>
        <w:t xml:space="preserve"> and</w:t>
      </w:r>
      <w:r w:rsidR="008B6F65" w:rsidRPr="001865EB">
        <w:rPr>
          <w:noProof/>
        </w:rPr>
        <w:t xml:space="preserve"> additional costs.</w:t>
      </w:r>
      <w:r w:rsidR="008B6F65" w:rsidRPr="001865EB" w:rsidDel="007F5695">
        <w:rPr>
          <w:noProof/>
        </w:rPr>
        <w:t xml:space="preserve"> </w:t>
      </w:r>
    </w:p>
    <w:p w14:paraId="20255CFB" w14:textId="3BB03D48" w:rsidR="00567A57" w:rsidRDefault="00633D88" w:rsidP="00567A57">
      <w:pPr>
        <w:spacing w:after="120"/>
        <w:rPr>
          <w:rFonts w:eastAsia="Times New Roman"/>
          <w:noProof/>
        </w:rPr>
      </w:pPr>
      <w:r>
        <w:rPr>
          <w:rFonts w:eastAsia="Times New Roman"/>
          <w:noProof/>
        </w:rPr>
        <w:t>T</w:t>
      </w:r>
      <w:r w:rsidRPr="00F62882">
        <w:rPr>
          <w:rFonts w:eastAsia="Times New Roman"/>
          <w:noProof/>
        </w:rPr>
        <w:t xml:space="preserve">here was unanimous support </w:t>
      </w:r>
      <w:r>
        <w:rPr>
          <w:rFonts w:eastAsia="Times New Roman"/>
          <w:noProof/>
        </w:rPr>
        <w:t xml:space="preserve">among stakeholders for </w:t>
      </w:r>
      <w:r w:rsidRPr="00F62882">
        <w:rPr>
          <w:rFonts w:eastAsia="Times New Roman"/>
          <w:noProof/>
        </w:rPr>
        <w:t>allowing shareholders and directors to participate and vote both online and physically in company meetings</w:t>
      </w:r>
      <w:r w:rsidRPr="0016448E">
        <w:rPr>
          <w:bCs/>
          <w:iCs/>
          <w:noProof/>
        </w:rPr>
        <w:t xml:space="preserve"> </w:t>
      </w:r>
      <w:r>
        <w:rPr>
          <w:bCs/>
          <w:iCs/>
          <w:noProof/>
        </w:rPr>
        <w:t>(hybrid mode)</w:t>
      </w:r>
      <w:r w:rsidR="00057FB4">
        <w:rPr>
          <w:bCs/>
          <w:iCs/>
          <w:noProof/>
        </w:rPr>
        <w:t xml:space="preserve">, rather than only online or only in person solutions. </w:t>
      </w:r>
      <w:r w:rsidR="008778C1" w:rsidRPr="00F62882">
        <w:rPr>
          <w:rFonts w:eastAsia="Times New Roman"/>
          <w:noProof/>
        </w:rPr>
        <w:t>Trade unions</w:t>
      </w:r>
      <w:r w:rsidR="008778C1">
        <w:rPr>
          <w:rFonts w:eastAsia="Times New Roman"/>
          <w:noProof/>
        </w:rPr>
        <w:t xml:space="preserve">, </w:t>
      </w:r>
      <w:r w:rsidR="008778C1" w:rsidRPr="00F62882">
        <w:rPr>
          <w:rFonts w:eastAsia="Times New Roman"/>
          <w:noProof/>
        </w:rPr>
        <w:t>without opposing digital options, stress</w:t>
      </w:r>
      <w:r w:rsidR="008778C1">
        <w:rPr>
          <w:rFonts w:eastAsia="Times New Roman"/>
          <w:noProof/>
        </w:rPr>
        <w:t>ed</w:t>
      </w:r>
      <w:r w:rsidR="008778C1" w:rsidRPr="00F62882">
        <w:rPr>
          <w:rFonts w:eastAsia="Times New Roman"/>
          <w:noProof/>
        </w:rPr>
        <w:t xml:space="preserve"> that online participation and voting must not affect applicable company law and that safeguards should prevent abuse. </w:t>
      </w:r>
      <w:r w:rsidR="00567A57">
        <w:rPr>
          <w:rFonts w:eastAsia="Times New Roman"/>
          <w:noProof/>
        </w:rPr>
        <w:t>Furthermore, a</w:t>
      </w:r>
      <w:r w:rsidR="00567A57" w:rsidRPr="00FD1E29">
        <w:rPr>
          <w:rFonts w:eastAsia="Times New Roman"/>
          <w:noProof/>
        </w:rPr>
        <w:t xml:space="preserve"> clear majority of respondents (88%) considered that 28</w:t>
      </w:r>
      <w:r w:rsidR="00567A57" w:rsidRPr="009E450A">
        <w:rPr>
          <w:rFonts w:eastAsia="Times New Roman"/>
          <w:noProof/>
          <w:vertAlign w:val="superscript"/>
        </w:rPr>
        <w:t>th</w:t>
      </w:r>
      <w:r w:rsidR="00567A57" w:rsidRPr="00FD1E29">
        <w:rPr>
          <w:rFonts w:eastAsia="Times New Roman"/>
          <w:noProof/>
        </w:rPr>
        <w:t xml:space="preserve"> regime companies should have the autonomy to decide on the format of general meetings and board meetings in their Articles of Association, whereas around 9% supported regulation by law. </w:t>
      </w:r>
    </w:p>
    <w:p w14:paraId="119BFF8F" w14:textId="57863C03" w:rsidR="009B7851" w:rsidRPr="009039FD" w:rsidRDefault="009039FD" w:rsidP="000A0753">
      <w:pPr>
        <w:spacing w:after="120"/>
        <w:rPr>
          <w:rFonts w:eastAsia="Calibri"/>
          <w:b/>
          <w:bCs/>
          <w:i/>
          <w:iCs/>
          <w:noProof/>
        </w:rPr>
      </w:pPr>
      <w:r w:rsidRPr="009039FD">
        <w:rPr>
          <w:rFonts w:eastAsia="Calibri"/>
          <w:b/>
          <w:bCs/>
          <w:i/>
          <w:iCs/>
          <w:noProof/>
        </w:rPr>
        <w:t>C</w:t>
      </w:r>
      <w:r w:rsidR="009B7851" w:rsidRPr="009039FD">
        <w:rPr>
          <w:rFonts w:eastAsia="Calibri"/>
          <w:b/>
          <w:bCs/>
          <w:i/>
          <w:iCs/>
          <w:noProof/>
        </w:rPr>
        <w:t>losure (liquidation) of compan</w:t>
      </w:r>
      <w:r w:rsidR="00217843">
        <w:rPr>
          <w:rFonts w:eastAsia="Calibri"/>
          <w:b/>
          <w:bCs/>
          <w:i/>
          <w:iCs/>
          <w:noProof/>
        </w:rPr>
        <w:t>ies</w:t>
      </w:r>
    </w:p>
    <w:p w14:paraId="4AE62671" w14:textId="6D958E1E" w:rsidR="00790585" w:rsidRDefault="00635778" w:rsidP="00790585">
      <w:pPr>
        <w:spacing w:after="120"/>
        <w:rPr>
          <w:rFonts w:eastAsia="Calibri"/>
          <w:b/>
          <w:i/>
          <w:noProof/>
          <w:lang w:val="en-IE"/>
        </w:rPr>
      </w:pPr>
      <w:r w:rsidRPr="249B2C69">
        <w:rPr>
          <w:noProof/>
          <w:lang w:val="en-IE"/>
        </w:rPr>
        <w:t xml:space="preserve">63% of respondents considered the insufficient availability of </w:t>
      </w:r>
      <w:r w:rsidRPr="249B2C69">
        <w:rPr>
          <w:b/>
          <w:noProof/>
          <w:lang w:val="en-IE"/>
        </w:rPr>
        <w:t xml:space="preserve">digital tools and procedures </w:t>
      </w:r>
      <w:r w:rsidR="00FB06EF" w:rsidRPr="249B2C69">
        <w:rPr>
          <w:b/>
          <w:noProof/>
          <w:lang w:val="en-IE"/>
        </w:rPr>
        <w:t>for</w:t>
      </w:r>
      <w:r w:rsidRPr="249B2C69">
        <w:rPr>
          <w:b/>
          <w:noProof/>
          <w:lang w:val="en-IE"/>
        </w:rPr>
        <w:t xml:space="preserve"> </w:t>
      </w:r>
      <w:r w:rsidR="00FB06EF" w:rsidRPr="249B2C69">
        <w:rPr>
          <w:b/>
          <w:noProof/>
          <w:lang w:val="en-IE"/>
        </w:rPr>
        <w:t>the</w:t>
      </w:r>
      <w:r w:rsidRPr="249B2C69">
        <w:rPr>
          <w:b/>
          <w:noProof/>
          <w:lang w:val="en-IE"/>
        </w:rPr>
        <w:t xml:space="preserve"> closure of companies</w:t>
      </w:r>
      <w:r w:rsidRPr="249B2C69">
        <w:rPr>
          <w:noProof/>
          <w:lang w:val="en-IE"/>
        </w:rPr>
        <w:t xml:space="preserve"> </w:t>
      </w:r>
      <w:r w:rsidR="000761EE" w:rsidRPr="249B2C69">
        <w:rPr>
          <w:b/>
          <w:noProof/>
          <w:lang w:val="en-IE"/>
        </w:rPr>
        <w:t>(outside of insolvency)</w:t>
      </w:r>
      <w:r w:rsidR="000761EE" w:rsidRPr="249B2C69">
        <w:rPr>
          <w:noProof/>
          <w:lang w:val="en-IE"/>
        </w:rPr>
        <w:t xml:space="preserve"> </w:t>
      </w:r>
      <w:r w:rsidRPr="249B2C69">
        <w:rPr>
          <w:noProof/>
          <w:lang w:val="en-IE"/>
        </w:rPr>
        <w:t xml:space="preserve">as being a problem to a large or very large extent. </w:t>
      </w:r>
      <w:r w:rsidR="00E627B5" w:rsidRPr="249B2C69">
        <w:rPr>
          <w:noProof/>
          <w:lang w:val="en-IE"/>
        </w:rPr>
        <w:t xml:space="preserve">In addition, </w:t>
      </w:r>
      <w:r w:rsidR="00790585" w:rsidRPr="249B2C69">
        <w:rPr>
          <w:noProof/>
          <w:lang w:val="en-IE"/>
        </w:rPr>
        <w:t xml:space="preserve">58% considered that the </w:t>
      </w:r>
      <w:r w:rsidR="00790585" w:rsidRPr="249B2C69">
        <w:rPr>
          <w:b/>
          <w:noProof/>
          <w:lang w:val="en-IE"/>
        </w:rPr>
        <w:t>hassle costs</w:t>
      </w:r>
      <w:r w:rsidR="00790585" w:rsidRPr="249B2C69">
        <w:rPr>
          <w:noProof/>
          <w:lang w:val="en-IE"/>
        </w:rPr>
        <w:t xml:space="preserve"> (such as unnecessary waiting time, delays) related to closing down were high or very high</w:t>
      </w:r>
      <w:r w:rsidR="00FB06EF" w:rsidRPr="249B2C69">
        <w:rPr>
          <w:noProof/>
          <w:lang w:val="en-IE"/>
        </w:rPr>
        <w:t>, and</w:t>
      </w:r>
      <w:r w:rsidR="00790585" w:rsidRPr="249B2C69">
        <w:rPr>
          <w:noProof/>
          <w:lang w:val="en-IE"/>
        </w:rPr>
        <w:t xml:space="preserve"> 57% considered the </w:t>
      </w:r>
      <w:r w:rsidR="00790585" w:rsidRPr="249B2C69">
        <w:rPr>
          <w:b/>
          <w:noProof/>
          <w:lang w:val="en-IE"/>
        </w:rPr>
        <w:t>administrative burden</w:t>
      </w:r>
      <w:r w:rsidR="00790585" w:rsidRPr="249B2C69">
        <w:rPr>
          <w:noProof/>
          <w:lang w:val="en-IE"/>
        </w:rPr>
        <w:t xml:space="preserve"> related to closing down as high or very high.</w:t>
      </w:r>
    </w:p>
    <w:p w14:paraId="564CD748" w14:textId="01426BD9" w:rsidR="00BA31A8" w:rsidRPr="000E5E66" w:rsidRDefault="00791994" w:rsidP="00BA31A8">
      <w:pPr>
        <w:spacing w:after="120"/>
        <w:rPr>
          <w:rFonts w:eastAsia="Times New Roman"/>
          <w:noProof/>
          <w:lang w:val="en-IE"/>
        </w:rPr>
      </w:pPr>
      <w:r w:rsidRPr="249B2C69">
        <w:rPr>
          <w:rFonts w:eastAsia="Calibri"/>
          <w:noProof/>
          <w:lang w:val="en-IE"/>
        </w:rPr>
        <w:t xml:space="preserve">When asked about </w:t>
      </w:r>
      <w:r w:rsidRPr="249B2C69">
        <w:rPr>
          <w:rFonts w:eastAsia="Calibri"/>
          <w:b/>
          <w:noProof/>
          <w:lang w:val="en-IE"/>
        </w:rPr>
        <w:t>specific barriers to the efficient closure</w:t>
      </w:r>
      <w:r w:rsidRPr="249B2C69">
        <w:rPr>
          <w:rFonts w:eastAsia="Calibri"/>
          <w:noProof/>
          <w:lang w:val="en-IE"/>
        </w:rPr>
        <w:t xml:space="preserve">, </w:t>
      </w:r>
      <w:r w:rsidR="00BA31A8" w:rsidRPr="249B2C69">
        <w:rPr>
          <w:noProof/>
          <w:lang w:val="en-IE"/>
        </w:rPr>
        <w:t xml:space="preserve">67% of the respondents saw the </w:t>
      </w:r>
      <w:r w:rsidR="001D0BBF" w:rsidRPr="249B2C69">
        <w:rPr>
          <w:noProof/>
          <w:lang w:val="en-IE"/>
        </w:rPr>
        <w:t xml:space="preserve">lack </w:t>
      </w:r>
      <w:r w:rsidR="00BA31A8" w:rsidRPr="249B2C69">
        <w:rPr>
          <w:noProof/>
          <w:lang w:val="en-IE"/>
        </w:rPr>
        <w:t xml:space="preserve">of a simplified/harmonised procedure for winding-up as a barrier </w:t>
      </w:r>
      <w:r w:rsidR="001D0BBF" w:rsidRPr="249B2C69">
        <w:rPr>
          <w:noProof/>
          <w:lang w:val="en-IE"/>
        </w:rPr>
        <w:t>(</w:t>
      </w:r>
      <w:r w:rsidR="00BA31A8" w:rsidRPr="249B2C69">
        <w:rPr>
          <w:noProof/>
          <w:lang w:val="en-IE"/>
        </w:rPr>
        <w:t>to a large or very large extent</w:t>
      </w:r>
      <w:r w:rsidR="001D0BBF" w:rsidRPr="249B2C69">
        <w:rPr>
          <w:noProof/>
          <w:lang w:val="en-IE"/>
        </w:rPr>
        <w:t>)</w:t>
      </w:r>
      <w:r w:rsidR="00BA31A8" w:rsidRPr="249B2C69">
        <w:rPr>
          <w:noProof/>
          <w:lang w:val="en-IE"/>
        </w:rPr>
        <w:t>. Around 63% sa</w:t>
      </w:r>
      <w:r w:rsidR="00151708" w:rsidRPr="249B2C69">
        <w:rPr>
          <w:noProof/>
          <w:lang w:val="en-IE"/>
        </w:rPr>
        <w:t>w</w:t>
      </w:r>
      <w:r w:rsidR="00BA31A8" w:rsidRPr="249B2C69">
        <w:rPr>
          <w:noProof/>
          <w:lang w:val="en-IE"/>
        </w:rPr>
        <w:t xml:space="preserve"> the fact that it is not possible</w:t>
      </w:r>
      <w:r w:rsidR="00BA31A8" w:rsidRPr="249B2C69" w:rsidDel="00B757D2">
        <w:rPr>
          <w:noProof/>
          <w:lang w:val="en-IE"/>
        </w:rPr>
        <w:t xml:space="preserve"> </w:t>
      </w:r>
      <w:r w:rsidR="00BA31A8" w:rsidRPr="249B2C69">
        <w:rPr>
          <w:noProof/>
          <w:lang w:val="en-IE"/>
        </w:rPr>
        <w:t xml:space="preserve">to carry out all the steps </w:t>
      </w:r>
      <w:r w:rsidR="00B9431D" w:rsidRPr="249B2C69">
        <w:rPr>
          <w:noProof/>
          <w:lang w:val="en-IE"/>
        </w:rPr>
        <w:t>of</w:t>
      </w:r>
      <w:r w:rsidR="00BA31A8" w:rsidRPr="249B2C69">
        <w:rPr>
          <w:noProof/>
          <w:lang w:val="en-IE"/>
        </w:rPr>
        <w:t xml:space="preserve"> the closure </w:t>
      </w:r>
      <w:r w:rsidR="00B9431D" w:rsidRPr="249B2C69">
        <w:rPr>
          <w:noProof/>
          <w:lang w:val="en-IE"/>
        </w:rPr>
        <w:t>(</w:t>
      </w:r>
      <w:r w:rsidR="00BA31A8" w:rsidRPr="249B2C69">
        <w:rPr>
          <w:noProof/>
          <w:lang w:val="en-IE"/>
        </w:rPr>
        <w:t>as regards the business register</w:t>
      </w:r>
      <w:r w:rsidR="00B9431D" w:rsidRPr="249B2C69">
        <w:rPr>
          <w:noProof/>
          <w:lang w:val="en-IE"/>
        </w:rPr>
        <w:t>)</w:t>
      </w:r>
      <w:r w:rsidR="00BA31A8" w:rsidRPr="249B2C69">
        <w:rPr>
          <w:noProof/>
          <w:lang w:val="en-IE"/>
        </w:rPr>
        <w:t xml:space="preserve"> fully online, </w:t>
      </w:r>
      <w:r w:rsidR="00B9431D" w:rsidRPr="249B2C69">
        <w:rPr>
          <w:noProof/>
          <w:lang w:val="en-IE"/>
        </w:rPr>
        <w:t xml:space="preserve">that </w:t>
      </w:r>
      <w:r w:rsidR="00BA31A8" w:rsidRPr="249B2C69">
        <w:rPr>
          <w:noProof/>
          <w:lang w:val="en-IE"/>
        </w:rPr>
        <w:t>it is not possible to carry out all the steps without the involvement of intermediaries</w:t>
      </w:r>
      <w:r w:rsidR="00BA31A8" w:rsidRPr="249B2C69" w:rsidDel="000D7280">
        <w:rPr>
          <w:noProof/>
          <w:lang w:val="en-IE"/>
        </w:rPr>
        <w:t xml:space="preserve"> </w:t>
      </w:r>
      <w:r w:rsidR="00BA31A8" w:rsidRPr="249B2C69">
        <w:rPr>
          <w:noProof/>
          <w:lang w:val="en-IE"/>
        </w:rPr>
        <w:t xml:space="preserve">and that it is necessary to </w:t>
      </w:r>
      <w:r w:rsidR="00277D0B" w:rsidRPr="249B2C69">
        <w:rPr>
          <w:noProof/>
          <w:lang w:val="en-IE"/>
        </w:rPr>
        <w:t xml:space="preserve">separately </w:t>
      </w:r>
      <w:r w:rsidR="00BA31A8" w:rsidRPr="249B2C69">
        <w:rPr>
          <w:noProof/>
          <w:lang w:val="en-IE"/>
        </w:rPr>
        <w:t>notify several authorities as a barrier to a large or very large extent.</w:t>
      </w:r>
      <w:r w:rsidR="00BA31A8" w:rsidRPr="249B2C69" w:rsidDel="00D32BC0">
        <w:rPr>
          <w:noProof/>
          <w:lang w:val="en-IE"/>
        </w:rPr>
        <w:t xml:space="preserve"> </w:t>
      </w:r>
      <w:r w:rsidR="00BA31A8" w:rsidRPr="249B2C69">
        <w:rPr>
          <w:noProof/>
          <w:lang w:val="en-IE"/>
        </w:rPr>
        <w:t xml:space="preserve">Finally, </w:t>
      </w:r>
      <w:r w:rsidR="009B4295" w:rsidRPr="249B2C69">
        <w:rPr>
          <w:noProof/>
          <w:lang w:val="en-IE"/>
        </w:rPr>
        <w:t xml:space="preserve">58% </w:t>
      </w:r>
      <w:r w:rsidR="00BA31A8" w:rsidRPr="249B2C69">
        <w:rPr>
          <w:noProof/>
          <w:lang w:val="en-IE"/>
        </w:rPr>
        <w:t xml:space="preserve">agreed </w:t>
      </w:r>
      <w:r w:rsidR="009B4295" w:rsidRPr="249B2C69">
        <w:rPr>
          <w:noProof/>
          <w:lang w:val="en-IE"/>
        </w:rPr>
        <w:t>(</w:t>
      </w:r>
      <w:r w:rsidR="00BA31A8" w:rsidRPr="249B2C69">
        <w:rPr>
          <w:noProof/>
          <w:lang w:val="en-IE"/>
        </w:rPr>
        <w:t>to a large or very large extent</w:t>
      </w:r>
      <w:r w:rsidR="009B4295" w:rsidRPr="249B2C69">
        <w:rPr>
          <w:noProof/>
          <w:lang w:val="en-IE"/>
        </w:rPr>
        <w:t>)</w:t>
      </w:r>
      <w:r w:rsidR="00BA31A8" w:rsidRPr="249B2C69">
        <w:rPr>
          <w:noProof/>
          <w:lang w:val="en-IE"/>
        </w:rPr>
        <w:t xml:space="preserve"> that the </w:t>
      </w:r>
      <w:r w:rsidR="003D0C63" w:rsidRPr="249B2C69">
        <w:rPr>
          <w:noProof/>
          <w:lang w:val="en-IE"/>
        </w:rPr>
        <w:t>length of the closure process</w:t>
      </w:r>
      <w:r w:rsidR="00D05B3B" w:rsidRPr="249B2C69">
        <w:rPr>
          <w:noProof/>
          <w:lang w:val="en-IE"/>
        </w:rPr>
        <w:t>,</w:t>
      </w:r>
      <w:r w:rsidR="003D0C63" w:rsidRPr="249B2C69">
        <w:rPr>
          <w:noProof/>
          <w:lang w:val="en-IE"/>
        </w:rPr>
        <w:t xml:space="preserve"> </w:t>
      </w:r>
      <w:r w:rsidR="00CC3248" w:rsidRPr="249B2C69">
        <w:rPr>
          <w:noProof/>
          <w:lang w:val="en-IE"/>
        </w:rPr>
        <w:t>n</w:t>
      </w:r>
      <w:r w:rsidR="00BA31A8" w:rsidRPr="249B2C69">
        <w:rPr>
          <w:noProof/>
          <w:lang w:val="en-IE"/>
        </w:rPr>
        <w:t>o possib</w:t>
      </w:r>
      <w:r w:rsidR="00CC3248" w:rsidRPr="249B2C69">
        <w:rPr>
          <w:noProof/>
          <w:lang w:val="en-IE"/>
        </w:rPr>
        <w:t>ility</w:t>
      </w:r>
      <w:r w:rsidR="00BA31A8" w:rsidRPr="249B2C69">
        <w:rPr>
          <w:noProof/>
          <w:lang w:val="en-IE"/>
        </w:rPr>
        <w:t xml:space="preserve"> to carry out the closure in English (54%) and lack of user-friendliness or problems with technical solutions (53%) were high barriers to closure of a company in the EU.</w:t>
      </w:r>
    </w:p>
    <w:p w14:paraId="598EF61B" w14:textId="238821E2" w:rsidR="009043B0" w:rsidRDefault="002902BB" w:rsidP="009043B0">
      <w:pPr>
        <w:spacing w:after="120"/>
        <w:rPr>
          <w:rFonts w:eastAsia="Times New Roman"/>
          <w:noProof/>
        </w:rPr>
      </w:pPr>
      <w:r>
        <w:rPr>
          <w:rFonts w:eastAsia="Times New Roman"/>
          <w:noProof/>
        </w:rPr>
        <w:t>Among those who provided additional comments, b</w:t>
      </w:r>
      <w:r w:rsidR="0047361A" w:rsidRPr="002B5E88">
        <w:rPr>
          <w:rFonts w:eastAsia="Times New Roman"/>
          <w:noProof/>
        </w:rPr>
        <w:t>usiness associations</w:t>
      </w:r>
      <w:r w:rsidR="0047361A">
        <w:rPr>
          <w:rFonts w:eastAsia="Times New Roman"/>
          <w:noProof/>
        </w:rPr>
        <w:t xml:space="preserve"> </w:t>
      </w:r>
      <w:r w:rsidR="0047361A" w:rsidRPr="002B5E88">
        <w:rPr>
          <w:rFonts w:eastAsia="Times New Roman"/>
          <w:noProof/>
        </w:rPr>
        <w:t>and legal professionals</w:t>
      </w:r>
      <w:r w:rsidR="0047361A" w:rsidRPr="003327BD">
        <w:rPr>
          <w:rFonts w:eastAsia="Times New Roman"/>
          <w:noProof/>
        </w:rPr>
        <w:t>,</w:t>
      </w:r>
      <w:r w:rsidR="0047361A" w:rsidRPr="00E9317F">
        <w:rPr>
          <w:rFonts w:eastAsia="Times New Roman"/>
          <w:noProof/>
        </w:rPr>
        <w:t xml:space="preserve"> </w:t>
      </w:r>
      <w:r w:rsidR="0047361A" w:rsidRPr="002B5E88">
        <w:rPr>
          <w:rFonts w:eastAsia="Times New Roman"/>
          <w:noProof/>
        </w:rPr>
        <w:t>note</w:t>
      </w:r>
      <w:r w:rsidR="0047361A">
        <w:rPr>
          <w:rFonts w:eastAsia="Times New Roman"/>
          <w:noProof/>
        </w:rPr>
        <w:t>d</w:t>
      </w:r>
      <w:r w:rsidR="0047361A" w:rsidRPr="002B5E88">
        <w:rPr>
          <w:rFonts w:eastAsia="Times New Roman"/>
          <w:noProof/>
        </w:rPr>
        <w:t xml:space="preserve"> that key actions</w:t>
      </w:r>
      <w:r w:rsidR="000D0E2E">
        <w:rPr>
          <w:rFonts w:eastAsia="Times New Roman"/>
          <w:noProof/>
        </w:rPr>
        <w:t xml:space="preserve"> (</w:t>
      </w:r>
      <w:r w:rsidR="0047361A" w:rsidRPr="002B5E88">
        <w:rPr>
          <w:rFonts w:eastAsia="Times New Roman"/>
          <w:noProof/>
        </w:rPr>
        <w:t>notarisation of deeds, tax and social security clearances, creditor notifications and registry updates</w:t>
      </w:r>
      <w:r w:rsidR="000D0E2E">
        <w:rPr>
          <w:rFonts w:eastAsia="Times New Roman"/>
          <w:noProof/>
        </w:rPr>
        <w:t>)</w:t>
      </w:r>
      <w:r w:rsidR="0047361A">
        <w:rPr>
          <w:rFonts w:eastAsia="Times New Roman"/>
          <w:noProof/>
        </w:rPr>
        <w:t>,</w:t>
      </w:r>
      <w:r w:rsidR="0047361A" w:rsidRPr="002B5E88">
        <w:rPr>
          <w:rFonts w:eastAsia="Times New Roman"/>
          <w:noProof/>
        </w:rPr>
        <w:t xml:space="preserve"> still require</w:t>
      </w:r>
      <w:r w:rsidR="0047361A">
        <w:rPr>
          <w:rFonts w:eastAsia="Times New Roman"/>
          <w:noProof/>
        </w:rPr>
        <w:t>d</w:t>
      </w:r>
      <w:r w:rsidR="0047361A" w:rsidRPr="002B5E88">
        <w:rPr>
          <w:rFonts w:eastAsia="Times New Roman"/>
          <w:noProof/>
        </w:rPr>
        <w:t xml:space="preserve"> in-person presence, adding time and cost</w:t>
      </w:r>
      <w:r w:rsidR="000D0E2E">
        <w:rPr>
          <w:rFonts w:eastAsia="Times New Roman"/>
          <w:noProof/>
        </w:rPr>
        <w:t>s</w:t>
      </w:r>
      <w:r>
        <w:rPr>
          <w:rFonts w:eastAsia="Times New Roman"/>
          <w:noProof/>
        </w:rPr>
        <w:t xml:space="preserve">, and the </w:t>
      </w:r>
      <w:r w:rsidR="0047361A">
        <w:rPr>
          <w:rFonts w:eastAsia="Times New Roman"/>
          <w:noProof/>
        </w:rPr>
        <w:t>p</w:t>
      </w:r>
      <w:r w:rsidR="0047361A" w:rsidRPr="002B5E88">
        <w:rPr>
          <w:rFonts w:eastAsia="Times New Roman"/>
          <w:noProof/>
        </w:rPr>
        <w:t>ublic authorities confirm</w:t>
      </w:r>
      <w:r w:rsidR="0047361A">
        <w:rPr>
          <w:rFonts w:eastAsia="Times New Roman"/>
          <w:noProof/>
        </w:rPr>
        <w:t>ed</w:t>
      </w:r>
      <w:r w:rsidR="0047361A" w:rsidRPr="002B5E88">
        <w:rPr>
          <w:rFonts w:eastAsia="Times New Roman"/>
          <w:noProof/>
        </w:rPr>
        <w:t xml:space="preserve"> that full</w:t>
      </w:r>
      <w:r w:rsidR="0047361A">
        <w:rPr>
          <w:rFonts w:eastAsia="Times New Roman"/>
          <w:noProof/>
        </w:rPr>
        <w:t>y</w:t>
      </w:r>
      <w:r w:rsidR="0047361A" w:rsidRPr="002B5E88">
        <w:rPr>
          <w:rFonts w:eastAsia="Times New Roman"/>
          <w:noProof/>
        </w:rPr>
        <w:t xml:space="preserve"> digital closure </w:t>
      </w:r>
      <w:r w:rsidR="0047361A">
        <w:rPr>
          <w:rFonts w:eastAsia="Times New Roman"/>
          <w:noProof/>
        </w:rPr>
        <w:t>wa</w:t>
      </w:r>
      <w:r w:rsidR="0047361A" w:rsidRPr="002B5E88">
        <w:rPr>
          <w:rFonts w:eastAsia="Times New Roman"/>
          <w:noProof/>
        </w:rPr>
        <w:t>s not yet possible since notarial supervision and physical filings remain</w:t>
      </w:r>
      <w:r w:rsidR="0047361A">
        <w:rPr>
          <w:rFonts w:eastAsia="Times New Roman"/>
          <w:noProof/>
        </w:rPr>
        <w:t>ed</w:t>
      </w:r>
      <w:r w:rsidR="0047361A" w:rsidRPr="002B5E88">
        <w:rPr>
          <w:rFonts w:eastAsia="Times New Roman"/>
          <w:noProof/>
        </w:rPr>
        <w:t xml:space="preserve"> mandatory in most Member States.</w:t>
      </w:r>
      <w:r>
        <w:rPr>
          <w:rFonts w:eastAsia="Times New Roman"/>
          <w:noProof/>
        </w:rPr>
        <w:t xml:space="preserve"> </w:t>
      </w:r>
      <w:r w:rsidR="00877ED0">
        <w:rPr>
          <w:rFonts w:eastAsia="Times New Roman"/>
          <w:noProof/>
        </w:rPr>
        <w:t>The c</w:t>
      </w:r>
      <w:r w:rsidR="00877ED0" w:rsidRPr="00A86E04">
        <w:rPr>
          <w:rFonts w:eastAsia="Times New Roman"/>
          <w:noProof/>
        </w:rPr>
        <w:t>itizens</w:t>
      </w:r>
      <w:r w:rsidR="00877ED0">
        <w:rPr>
          <w:rFonts w:eastAsia="Times New Roman"/>
          <w:noProof/>
        </w:rPr>
        <w:t xml:space="preserve"> (mainly </w:t>
      </w:r>
      <w:r w:rsidR="00877ED0" w:rsidRPr="00A86E04">
        <w:rPr>
          <w:rFonts w:eastAsia="Times New Roman"/>
          <w:noProof/>
        </w:rPr>
        <w:t>founders</w:t>
      </w:r>
      <w:r w:rsidR="00877ED0">
        <w:rPr>
          <w:rFonts w:eastAsia="Times New Roman"/>
          <w:noProof/>
        </w:rPr>
        <w:t xml:space="preserve"> and investors)</w:t>
      </w:r>
      <w:r w:rsidR="00877ED0" w:rsidRPr="00A86E04">
        <w:rPr>
          <w:rFonts w:eastAsia="Times New Roman"/>
          <w:noProof/>
        </w:rPr>
        <w:t xml:space="preserve"> </w:t>
      </w:r>
      <w:r w:rsidR="00877ED0" w:rsidRPr="002B5E88">
        <w:rPr>
          <w:rFonts w:eastAsia="Times New Roman"/>
          <w:noProof/>
        </w:rPr>
        <w:t>echo</w:t>
      </w:r>
      <w:r w:rsidR="00877ED0">
        <w:rPr>
          <w:rFonts w:eastAsia="Times New Roman"/>
          <w:noProof/>
        </w:rPr>
        <w:t>ed</w:t>
      </w:r>
      <w:r w:rsidR="00877ED0" w:rsidRPr="002B5E88">
        <w:rPr>
          <w:rFonts w:eastAsia="Times New Roman"/>
          <w:noProof/>
        </w:rPr>
        <w:t xml:space="preserve"> these concerns, describing closure processes as fragmented, slow and expensive, especially for small or dormant firms.</w:t>
      </w:r>
      <w:r w:rsidR="009043B0">
        <w:rPr>
          <w:rFonts w:eastAsia="Times New Roman"/>
          <w:noProof/>
        </w:rPr>
        <w:t xml:space="preserve"> As regards the involvement of </w:t>
      </w:r>
      <w:r w:rsidR="009043B0" w:rsidRPr="00BE6C90">
        <w:rPr>
          <w:rFonts w:eastAsia="Times New Roman"/>
          <w:noProof/>
        </w:rPr>
        <w:t>intermediaries</w:t>
      </w:r>
      <w:r w:rsidR="009043B0">
        <w:rPr>
          <w:rFonts w:eastAsia="Times New Roman"/>
          <w:noProof/>
        </w:rPr>
        <w:t>,</w:t>
      </w:r>
      <w:r w:rsidR="009043B0" w:rsidRPr="00A24B76">
        <w:rPr>
          <w:rFonts w:eastAsia="Times New Roman"/>
          <w:noProof/>
        </w:rPr>
        <w:t xml:space="preserve"> </w:t>
      </w:r>
      <w:r w:rsidR="00804F7B">
        <w:rPr>
          <w:rFonts w:eastAsia="Times New Roman"/>
          <w:noProof/>
        </w:rPr>
        <w:t xml:space="preserve">respondents </w:t>
      </w:r>
      <w:r w:rsidR="009043B0">
        <w:rPr>
          <w:rFonts w:eastAsia="Times New Roman"/>
          <w:noProof/>
        </w:rPr>
        <w:t xml:space="preserve">who </w:t>
      </w:r>
      <w:r w:rsidR="00804F7B">
        <w:rPr>
          <w:rFonts w:eastAsia="Times New Roman"/>
          <w:noProof/>
        </w:rPr>
        <w:t>gave</w:t>
      </w:r>
      <w:r w:rsidR="009043B0">
        <w:rPr>
          <w:rFonts w:eastAsia="Times New Roman"/>
          <w:noProof/>
        </w:rPr>
        <w:t xml:space="preserve"> additional comments explained that i</w:t>
      </w:r>
      <w:r w:rsidR="009043B0" w:rsidRPr="00A24B76">
        <w:rPr>
          <w:rFonts w:eastAsia="Times New Roman"/>
          <w:noProof/>
        </w:rPr>
        <w:t>n most Member States, companies cannot complete dissolution without notaries, lawyers, auditors, liquidators or translators whose participation is often legally required</w:t>
      </w:r>
      <w:r w:rsidR="007B1A5A">
        <w:rPr>
          <w:rFonts w:eastAsia="Times New Roman"/>
          <w:noProof/>
        </w:rPr>
        <w:t xml:space="preserve">, sometimes even </w:t>
      </w:r>
      <w:r w:rsidR="007B1A5A" w:rsidRPr="00A24B76">
        <w:rPr>
          <w:rFonts w:eastAsia="Times New Roman"/>
          <w:noProof/>
        </w:rPr>
        <w:t>in straightforward or single-shareholder cases</w:t>
      </w:r>
      <w:r w:rsidR="009043B0" w:rsidRPr="00A24B76">
        <w:rPr>
          <w:rFonts w:eastAsia="Times New Roman"/>
          <w:noProof/>
        </w:rPr>
        <w:t xml:space="preserve">. </w:t>
      </w:r>
    </w:p>
    <w:p w14:paraId="25F6DBAE" w14:textId="2521651D" w:rsidR="002E7B1D" w:rsidRDefault="002E7B1D" w:rsidP="002E7B1D">
      <w:pPr>
        <w:spacing w:after="120"/>
        <w:rPr>
          <w:rFonts w:eastAsia="Times New Roman"/>
          <w:noProof/>
        </w:rPr>
      </w:pPr>
      <w:r>
        <w:rPr>
          <w:rFonts w:eastAsia="Times New Roman"/>
          <w:noProof/>
        </w:rPr>
        <w:t>As regards the length of the clos</w:t>
      </w:r>
      <w:r w:rsidR="00A95633">
        <w:rPr>
          <w:rFonts w:eastAsia="Times New Roman"/>
          <w:noProof/>
        </w:rPr>
        <w:t>ur</w:t>
      </w:r>
      <w:r>
        <w:rPr>
          <w:rFonts w:eastAsia="Times New Roman"/>
          <w:noProof/>
        </w:rPr>
        <w:t>e procedure,</w:t>
      </w:r>
      <w:r w:rsidRPr="00711B1D">
        <w:rPr>
          <w:rFonts w:eastAsia="Times New Roman"/>
          <w:noProof/>
        </w:rPr>
        <w:t xml:space="preserve"> </w:t>
      </w:r>
      <w:r>
        <w:rPr>
          <w:rFonts w:eastAsia="Times New Roman"/>
          <w:noProof/>
        </w:rPr>
        <w:t xml:space="preserve">stakeholders mentioned </w:t>
      </w:r>
      <w:r w:rsidR="00AC43B7">
        <w:rPr>
          <w:rFonts w:eastAsia="Times New Roman"/>
          <w:noProof/>
        </w:rPr>
        <w:t xml:space="preserve">that </w:t>
      </w:r>
      <w:r w:rsidR="002361E4">
        <w:rPr>
          <w:rFonts w:eastAsia="Times New Roman"/>
          <w:noProof/>
        </w:rPr>
        <w:t>it</w:t>
      </w:r>
      <w:r w:rsidR="00AC43B7">
        <w:rPr>
          <w:rFonts w:eastAsia="Times New Roman"/>
          <w:noProof/>
        </w:rPr>
        <w:t xml:space="preserve"> </w:t>
      </w:r>
      <w:r w:rsidRPr="00711B1D">
        <w:rPr>
          <w:rFonts w:eastAsia="Times New Roman"/>
          <w:noProof/>
        </w:rPr>
        <w:t>typically tak</w:t>
      </w:r>
      <w:r>
        <w:rPr>
          <w:rFonts w:eastAsia="Times New Roman"/>
          <w:noProof/>
        </w:rPr>
        <w:t>es</w:t>
      </w:r>
      <w:r w:rsidRPr="00711B1D">
        <w:rPr>
          <w:rFonts w:eastAsia="Times New Roman"/>
          <w:noProof/>
        </w:rPr>
        <w:t xml:space="preserve"> between six and eighteen months depending on the Member State, company size and whether insolvency is involved.</w:t>
      </w:r>
      <w:r>
        <w:rPr>
          <w:rFonts w:eastAsia="Times New Roman"/>
          <w:noProof/>
        </w:rPr>
        <w:t xml:space="preserve"> Some</w:t>
      </w:r>
      <w:r w:rsidRPr="00711B1D" w:rsidDel="00D87237">
        <w:rPr>
          <w:rFonts w:eastAsia="Times New Roman"/>
          <w:noProof/>
        </w:rPr>
        <w:t xml:space="preserve"> </w:t>
      </w:r>
      <w:r>
        <w:rPr>
          <w:rFonts w:eastAsia="Times New Roman"/>
          <w:noProof/>
        </w:rPr>
        <w:t>b</w:t>
      </w:r>
      <w:r w:rsidRPr="00711B1D">
        <w:rPr>
          <w:rFonts w:eastAsia="Times New Roman"/>
          <w:noProof/>
        </w:rPr>
        <w:t>usiness associations</w:t>
      </w:r>
      <w:r w:rsidDel="00D87237">
        <w:rPr>
          <w:rFonts w:eastAsia="Times New Roman"/>
          <w:noProof/>
        </w:rPr>
        <w:t xml:space="preserve"> </w:t>
      </w:r>
      <w:r>
        <w:rPr>
          <w:rFonts w:eastAsia="Times New Roman"/>
          <w:noProof/>
        </w:rPr>
        <w:t>also</w:t>
      </w:r>
      <w:r w:rsidRPr="00711B1D">
        <w:rPr>
          <w:rFonts w:eastAsia="Times New Roman"/>
          <w:noProof/>
        </w:rPr>
        <w:t xml:space="preserve"> note</w:t>
      </w:r>
      <w:r>
        <w:rPr>
          <w:rFonts w:eastAsia="Times New Roman"/>
          <w:noProof/>
        </w:rPr>
        <w:t>d</w:t>
      </w:r>
      <w:r w:rsidRPr="00711B1D">
        <w:rPr>
          <w:rFonts w:eastAsia="Times New Roman"/>
          <w:noProof/>
        </w:rPr>
        <w:t xml:space="preserve"> that mandatory involvement of intermediaries</w:t>
      </w:r>
      <w:r>
        <w:rPr>
          <w:rFonts w:eastAsia="Times New Roman"/>
          <w:noProof/>
        </w:rPr>
        <w:t xml:space="preserve">, </w:t>
      </w:r>
      <w:r w:rsidRPr="00711B1D">
        <w:rPr>
          <w:rFonts w:eastAsia="Times New Roman"/>
          <w:noProof/>
        </w:rPr>
        <w:t>such as notaries, lawyers, auditors, liquidators, and translators</w:t>
      </w:r>
      <w:r>
        <w:rPr>
          <w:rFonts w:eastAsia="Times New Roman"/>
          <w:noProof/>
        </w:rPr>
        <w:t xml:space="preserve">, </w:t>
      </w:r>
      <w:r w:rsidRPr="00711B1D">
        <w:rPr>
          <w:rFonts w:eastAsia="Times New Roman"/>
          <w:noProof/>
        </w:rPr>
        <w:t xml:space="preserve">multiple authority clearances, creditor-notification periods, tax audits, and manual registry steps, led to significant delays </w:t>
      </w:r>
      <w:r w:rsidR="004F28F2">
        <w:rPr>
          <w:rFonts w:eastAsia="Times New Roman"/>
          <w:noProof/>
        </w:rPr>
        <w:t xml:space="preserve">and </w:t>
      </w:r>
      <w:r w:rsidRPr="00711B1D">
        <w:rPr>
          <w:rFonts w:eastAsia="Times New Roman"/>
          <w:noProof/>
        </w:rPr>
        <w:t xml:space="preserve">costs. </w:t>
      </w:r>
      <w:r w:rsidR="0050332D">
        <w:rPr>
          <w:rFonts w:eastAsia="Times New Roman"/>
          <w:noProof/>
        </w:rPr>
        <w:t>A few t</w:t>
      </w:r>
      <w:r w:rsidRPr="00711B1D">
        <w:rPr>
          <w:rFonts w:eastAsia="Times New Roman"/>
          <w:noProof/>
        </w:rPr>
        <w:t>rade unions</w:t>
      </w:r>
      <w:r>
        <w:rPr>
          <w:rFonts w:eastAsia="Times New Roman"/>
          <w:noProof/>
        </w:rPr>
        <w:t xml:space="preserve"> </w:t>
      </w:r>
      <w:r w:rsidRPr="00711B1D">
        <w:rPr>
          <w:rFonts w:eastAsia="Times New Roman"/>
          <w:noProof/>
        </w:rPr>
        <w:t>stress</w:t>
      </w:r>
      <w:r>
        <w:rPr>
          <w:rFonts w:eastAsia="Times New Roman"/>
          <w:noProof/>
        </w:rPr>
        <w:t>ed</w:t>
      </w:r>
      <w:r w:rsidRPr="00711B1D">
        <w:rPr>
          <w:rFonts w:eastAsia="Times New Roman"/>
          <w:noProof/>
        </w:rPr>
        <w:t xml:space="preserve"> that employee consultation and redundancy procedures </w:t>
      </w:r>
      <w:r>
        <w:rPr>
          <w:rFonts w:eastAsia="Times New Roman"/>
          <w:noProof/>
        </w:rPr>
        <w:t>we</w:t>
      </w:r>
      <w:r w:rsidRPr="00711B1D">
        <w:rPr>
          <w:rFonts w:eastAsia="Times New Roman"/>
          <w:noProof/>
        </w:rPr>
        <w:t>re essential safeguards</w:t>
      </w:r>
      <w:r w:rsidR="0050332D">
        <w:rPr>
          <w:rFonts w:eastAsia="Times New Roman"/>
          <w:noProof/>
        </w:rPr>
        <w:t>, and c</w:t>
      </w:r>
      <w:r>
        <w:rPr>
          <w:rFonts w:eastAsia="Times New Roman"/>
          <w:noProof/>
        </w:rPr>
        <w:t xml:space="preserve">ompanies, </w:t>
      </w:r>
      <w:r w:rsidRPr="00711B1D">
        <w:rPr>
          <w:rFonts w:eastAsia="Times New Roman"/>
          <w:noProof/>
        </w:rPr>
        <w:t>and</w:t>
      </w:r>
      <w:r>
        <w:rPr>
          <w:rFonts w:eastAsia="Times New Roman"/>
          <w:noProof/>
        </w:rPr>
        <w:t xml:space="preserve"> </w:t>
      </w:r>
      <w:r w:rsidRPr="00711B1D">
        <w:rPr>
          <w:rFonts w:eastAsia="Times New Roman"/>
          <w:noProof/>
        </w:rPr>
        <w:t xml:space="preserve">citizens </w:t>
      </w:r>
      <w:r>
        <w:rPr>
          <w:rFonts w:eastAsia="Times New Roman"/>
          <w:noProof/>
        </w:rPr>
        <w:t xml:space="preserve">(mainly founders and investors) </w:t>
      </w:r>
      <w:r w:rsidRPr="00711B1D">
        <w:rPr>
          <w:rFonts w:eastAsia="Times New Roman"/>
          <w:noProof/>
        </w:rPr>
        <w:t>emphasise</w:t>
      </w:r>
      <w:r>
        <w:rPr>
          <w:rFonts w:eastAsia="Times New Roman"/>
          <w:noProof/>
        </w:rPr>
        <w:t>d</w:t>
      </w:r>
      <w:r w:rsidRPr="00711B1D">
        <w:rPr>
          <w:rFonts w:eastAsia="Times New Roman"/>
          <w:noProof/>
        </w:rPr>
        <w:t xml:space="preserve"> that sequential filings, notarial acts and manual verification ma</w:t>
      </w:r>
      <w:r>
        <w:rPr>
          <w:rFonts w:eastAsia="Times New Roman"/>
          <w:noProof/>
        </w:rPr>
        <w:t>d</w:t>
      </w:r>
      <w:r w:rsidRPr="00711B1D">
        <w:rPr>
          <w:rFonts w:eastAsia="Times New Roman"/>
          <w:noProof/>
        </w:rPr>
        <w:t>e dissolution fragmented and disproportionately burdensome</w:t>
      </w:r>
      <w:r w:rsidRPr="00232D99">
        <w:rPr>
          <w:rFonts w:eastAsia="Times New Roman"/>
          <w:noProof/>
        </w:rPr>
        <w:t>.</w:t>
      </w:r>
      <w:r>
        <w:rPr>
          <w:rFonts w:eastAsia="Times New Roman"/>
          <w:noProof/>
        </w:rPr>
        <w:t xml:space="preserve"> On use of English, t</w:t>
      </w:r>
      <w:r w:rsidRPr="00EE5D63">
        <w:rPr>
          <w:rFonts w:eastAsia="Times New Roman"/>
          <w:noProof/>
        </w:rPr>
        <w:t xml:space="preserve">here </w:t>
      </w:r>
      <w:r>
        <w:rPr>
          <w:rFonts w:eastAsia="Times New Roman"/>
          <w:noProof/>
        </w:rPr>
        <w:t>wa</w:t>
      </w:r>
      <w:r w:rsidRPr="00EE5D63">
        <w:rPr>
          <w:rFonts w:eastAsia="Times New Roman"/>
          <w:noProof/>
        </w:rPr>
        <w:t xml:space="preserve">s a strong consensus among respondents </w:t>
      </w:r>
      <w:r w:rsidRPr="00F50240">
        <w:rPr>
          <w:rFonts w:eastAsia="Times New Roman"/>
          <w:noProof/>
        </w:rPr>
        <w:t xml:space="preserve">that all key steps in </w:t>
      </w:r>
      <w:r w:rsidRPr="006A354B">
        <w:rPr>
          <w:rFonts w:eastAsia="Times New Roman"/>
          <w:noProof/>
        </w:rPr>
        <w:t>company closure procedures should be accessible in English</w:t>
      </w:r>
      <w:r>
        <w:rPr>
          <w:rFonts w:eastAsia="Times New Roman"/>
          <w:noProof/>
        </w:rPr>
        <w:t>.</w:t>
      </w:r>
      <w:r w:rsidRPr="005E265D">
        <w:rPr>
          <w:rFonts w:eastAsia="Times New Roman"/>
          <w:noProof/>
        </w:rPr>
        <w:t xml:space="preserve"> </w:t>
      </w:r>
    </w:p>
    <w:p w14:paraId="5B20AC0E" w14:textId="5D3210D7" w:rsidR="00912265" w:rsidRPr="00393775" w:rsidRDefault="00E51007" w:rsidP="009E450A">
      <w:pPr>
        <w:spacing w:after="120"/>
        <w:rPr>
          <w:noProof/>
        </w:rPr>
      </w:pPr>
      <w:r>
        <w:rPr>
          <w:rFonts w:eastAsia="Calibri"/>
          <w:noProof/>
        </w:rPr>
        <w:t xml:space="preserve">When asked about the </w:t>
      </w:r>
      <w:r w:rsidRPr="00F77CA4">
        <w:rPr>
          <w:rFonts w:eastAsia="Calibri"/>
          <w:b/>
          <w:bCs/>
          <w:noProof/>
        </w:rPr>
        <w:t>main obstacles</w:t>
      </w:r>
      <w:r w:rsidR="00CB2F50" w:rsidRPr="00F77CA4">
        <w:rPr>
          <w:b/>
          <w:bCs/>
          <w:i/>
          <w:iCs/>
          <w:noProof/>
        </w:rPr>
        <w:t xml:space="preserve"> </w:t>
      </w:r>
      <w:r w:rsidR="00CB2F50" w:rsidRPr="00F77CA4">
        <w:rPr>
          <w:b/>
          <w:bCs/>
          <w:noProof/>
        </w:rPr>
        <w:t>related to insolvency for companies</w:t>
      </w:r>
      <w:r w:rsidR="00CB2F50" w:rsidRPr="006E4FDF">
        <w:rPr>
          <w:bCs/>
          <w:noProof/>
        </w:rPr>
        <w:t>, in particular in cross-border situations</w:t>
      </w:r>
      <w:r w:rsidR="006E4FDF" w:rsidRPr="006E4FDF">
        <w:rPr>
          <w:bCs/>
          <w:noProof/>
        </w:rPr>
        <w:t xml:space="preserve"> and beyond the existing Restructuring and Insolvency Directive and the proposal for Insolvency Directive, </w:t>
      </w:r>
      <w:r w:rsidR="006A33ED" w:rsidRPr="007073AD">
        <w:rPr>
          <w:noProof/>
        </w:rPr>
        <w:t xml:space="preserve">435 respondents replied and almost one-third gave no substantive reply </w:t>
      </w:r>
      <w:r w:rsidR="00A96BD0" w:rsidRPr="007073AD">
        <w:rPr>
          <w:noProof/>
        </w:rPr>
        <w:t>and instead mentioned</w:t>
      </w:r>
      <w:r w:rsidR="006A33ED" w:rsidRPr="007073AD">
        <w:rPr>
          <w:noProof/>
        </w:rPr>
        <w:t xml:space="preserve"> no experience </w:t>
      </w:r>
      <w:r w:rsidR="00CC2B13" w:rsidRPr="007073AD">
        <w:rPr>
          <w:noProof/>
        </w:rPr>
        <w:t>or no opinion on the topic</w:t>
      </w:r>
      <w:r w:rsidR="006A33ED" w:rsidRPr="007073AD">
        <w:rPr>
          <w:noProof/>
        </w:rPr>
        <w:t xml:space="preserve">. </w:t>
      </w:r>
      <w:r w:rsidR="00B50E7A" w:rsidRPr="007073AD">
        <w:rPr>
          <w:noProof/>
        </w:rPr>
        <w:t xml:space="preserve">A recurring element in contributions (73) was that traditional insolvency proceedings were too costly, complex or bureaucratic for micro- and small companies or duplicating or too divergent from one Member State to another. A few stakeholders (11) also mentioned the diverging availability of restructuring or absence of cross-border recognition of insolvency proceedings. </w:t>
      </w:r>
      <w:r w:rsidR="00DF406D">
        <w:rPr>
          <w:noProof/>
        </w:rPr>
        <w:t>A number of stakeholders mentioned</w:t>
      </w:r>
      <w:bookmarkStart w:id="14" w:name="_Hlk211328587"/>
      <w:r w:rsidR="00DF406D">
        <w:rPr>
          <w:noProof/>
        </w:rPr>
        <w:t xml:space="preserve"> </w:t>
      </w:r>
      <w:r w:rsidR="00DF406D" w:rsidRPr="007073AD">
        <w:rPr>
          <w:noProof/>
        </w:rPr>
        <w:t>different insolvency filing triggers and directors’ liability (</w:t>
      </w:r>
      <w:bookmarkEnd w:id="14"/>
      <w:r w:rsidR="00DF406D" w:rsidRPr="007073AD">
        <w:rPr>
          <w:noProof/>
        </w:rPr>
        <w:t xml:space="preserve">25), differing ranking of claims across Member States (25), non-solving of cases of asset-less entities leading to zombie firms (17) and </w:t>
      </w:r>
      <w:r w:rsidR="00FE20BC" w:rsidRPr="007073AD">
        <w:rPr>
          <w:noProof/>
        </w:rPr>
        <w:t>lack</w:t>
      </w:r>
      <w:r w:rsidR="00DF406D" w:rsidRPr="007073AD">
        <w:rPr>
          <w:noProof/>
        </w:rPr>
        <w:t xml:space="preserve"> of harmonisation </w:t>
      </w:r>
      <w:r w:rsidR="00FE20BC" w:rsidRPr="007073AD">
        <w:rPr>
          <w:noProof/>
        </w:rPr>
        <w:t xml:space="preserve">on </w:t>
      </w:r>
      <w:r w:rsidR="00DF406D" w:rsidRPr="007073AD">
        <w:rPr>
          <w:noProof/>
        </w:rPr>
        <w:t>discharge rules, in particular of public debts (16).</w:t>
      </w:r>
      <w:r w:rsidR="00214866" w:rsidRPr="007073AD">
        <w:rPr>
          <w:noProof/>
        </w:rPr>
        <w:t xml:space="preserve"> </w:t>
      </w:r>
      <w:r w:rsidR="00782419" w:rsidRPr="007073AD">
        <w:rPr>
          <w:noProof/>
        </w:rPr>
        <w:t xml:space="preserve">Some business organisations </w:t>
      </w:r>
      <w:r w:rsidR="007B1BD8" w:rsidRPr="007073AD">
        <w:rPr>
          <w:noProof/>
        </w:rPr>
        <w:t xml:space="preserve">mentioned </w:t>
      </w:r>
      <w:r w:rsidR="00782419" w:rsidRPr="007073AD">
        <w:rPr>
          <w:noProof/>
        </w:rPr>
        <w:t xml:space="preserve">high costs, complexity and bureaucracy for micro- and small companies or duplication or high divergence of insolvency rules from one Member State to another </w:t>
      </w:r>
      <w:r w:rsidR="00C4548C" w:rsidRPr="007073AD">
        <w:rPr>
          <w:noProof/>
        </w:rPr>
        <w:t>and s</w:t>
      </w:r>
      <w:r w:rsidR="00782419" w:rsidRPr="007073AD">
        <w:rPr>
          <w:noProof/>
        </w:rPr>
        <w:t>ome of these also called for a harmonised simplified digital insolvency procedure for microenterprises or smaller businesses.</w:t>
      </w:r>
      <w:r w:rsidR="00912265" w:rsidRPr="00912265">
        <w:rPr>
          <w:noProof/>
        </w:rPr>
        <w:t xml:space="preserve"> </w:t>
      </w:r>
      <w:r w:rsidR="00912265">
        <w:rPr>
          <w:noProof/>
        </w:rPr>
        <w:t>3 res</w:t>
      </w:r>
      <w:r w:rsidR="00765E11">
        <w:rPr>
          <w:noProof/>
        </w:rPr>
        <w:t xml:space="preserve">ponding national </w:t>
      </w:r>
      <w:r w:rsidR="00912265" w:rsidRPr="00393775">
        <w:rPr>
          <w:noProof/>
        </w:rPr>
        <w:t xml:space="preserve">Ministries </w:t>
      </w:r>
      <w:r w:rsidR="00912265" w:rsidRPr="00B20D0E">
        <w:rPr>
          <w:noProof/>
        </w:rPr>
        <w:t xml:space="preserve">were against </w:t>
      </w:r>
      <w:r w:rsidR="00912265" w:rsidRPr="00393775">
        <w:rPr>
          <w:noProof/>
        </w:rPr>
        <w:t xml:space="preserve">insolvency </w:t>
      </w:r>
      <w:r w:rsidR="00912265" w:rsidRPr="00B20D0E">
        <w:rPr>
          <w:noProof/>
        </w:rPr>
        <w:t xml:space="preserve">being included as </w:t>
      </w:r>
      <w:r w:rsidR="00912265" w:rsidRPr="00393775">
        <w:rPr>
          <w:noProof/>
        </w:rPr>
        <w:t>a part of the future 28th regime</w:t>
      </w:r>
      <w:r w:rsidR="004D49A7">
        <w:rPr>
          <w:noProof/>
        </w:rPr>
        <w:t xml:space="preserve">, whereas a national investment </w:t>
      </w:r>
      <w:r w:rsidR="00912265" w:rsidRPr="00393775">
        <w:rPr>
          <w:noProof/>
        </w:rPr>
        <w:t>agency deplored the fragmentation of the insolvency laws and suggested that certain sections of the proposal on the Insolvency Directive (a unified framework for pre-pack sales, standardised director obligations and creditor rights and digital tools for asset tracing and cross-border coordination) could become a part of the future 28</w:t>
      </w:r>
      <w:r w:rsidR="00912265" w:rsidRPr="009E450A">
        <w:rPr>
          <w:noProof/>
          <w:vertAlign w:val="superscript"/>
        </w:rPr>
        <w:t>th</w:t>
      </w:r>
      <w:r w:rsidR="00912265" w:rsidRPr="00393775">
        <w:rPr>
          <w:noProof/>
        </w:rPr>
        <w:t xml:space="preserve"> regime.</w:t>
      </w:r>
      <w:r w:rsidR="00A65C29">
        <w:rPr>
          <w:noProof/>
        </w:rPr>
        <w:t xml:space="preserve"> </w:t>
      </w:r>
    </w:p>
    <w:p w14:paraId="1B63ECF2" w14:textId="1E27FCDA" w:rsidR="00AE3C32" w:rsidRPr="007073AD" w:rsidRDefault="00992A8A" w:rsidP="009E450A">
      <w:pPr>
        <w:spacing w:after="120"/>
        <w:rPr>
          <w:noProof/>
        </w:rPr>
      </w:pPr>
      <w:r w:rsidRPr="249B2C69">
        <w:rPr>
          <w:noProof/>
          <w:lang w:val="en-IE"/>
        </w:rPr>
        <w:t xml:space="preserve">As to the </w:t>
      </w:r>
      <w:r w:rsidRPr="249B2C69">
        <w:rPr>
          <w:b/>
          <w:noProof/>
          <w:lang w:val="en-IE"/>
        </w:rPr>
        <w:t>m</w:t>
      </w:r>
      <w:bookmarkStart w:id="15" w:name="_Toc211329559"/>
      <w:r w:rsidRPr="249B2C69">
        <w:rPr>
          <w:b/>
          <w:noProof/>
          <w:lang w:val="en-IE"/>
        </w:rPr>
        <w:t>ain solutions</w:t>
      </w:r>
      <w:bookmarkEnd w:id="15"/>
      <w:r w:rsidRPr="249B2C69">
        <w:rPr>
          <w:b/>
          <w:noProof/>
          <w:lang w:val="en-IE"/>
        </w:rPr>
        <w:t xml:space="preserve"> on insolvency</w:t>
      </w:r>
      <w:r w:rsidRPr="249B2C69">
        <w:rPr>
          <w:noProof/>
          <w:lang w:val="en-IE"/>
        </w:rPr>
        <w:t xml:space="preserve">, </w:t>
      </w:r>
      <w:r w:rsidR="00A5166C" w:rsidRPr="249B2C69">
        <w:rPr>
          <w:noProof/>
          <w:lang w:val="en-IE"/>
        </w:rPr>
        <w:t>50</w:t>
      </w:r>
      <w:r w:rsidR="00AE3C32" w:rsidRPr="249B2C69">
        <w:rPr>
          <w:noProof/>
          <w:lang w:val="en-IE"/>
        </w:rPr>
        <w:t xml:space="preserve"> respondents </w:t>
      </w:r>
      <w:r w:rsidR="0083298F" w:rsidRPr="249B2C69">
        <w:rPr>
          <w:noProof/>
          <w:lang w:val="en-IE"/>
        </w:rPr>
        <w:t xml:space="preserve">called for </w:t>
      </w:r>
      <w:r w:rsidR="00AE3C32" w:rsidRPr="249B2C69">
        <w:rPr>
          <w:noProof/>
          <w:lang w:val="en-IE"/>
        </w:rPr>
        <w:t xml:space="preserve">a harmonised simplified digital insolvency procedure for all businesses </w:t>
      </w:r>
      <w:r w:rsidR="00C34B36" w:rsidRPr="249B2C69">
        <w:rPr>
          <w:noProof/>
          <w:lang w:val="en-IE"/>
        </w:rPr>
        <w:t xml:space="preserve">or </w:t>
      </w:r>
      <w:r w:rsidR="00AE3C32" w:rsidRPr="249B2C69">
        <w:rPr>
          <w:noProof/>
          <w:lang w:val="en-IE"/>
        </w:rPr>
        <w:t xml:space="preserve">only for microenterprises </w:t>
      </w:r>
      <w:r w:rsidR="00C34B36" w:rsidRPr="249B2C69">
        <w:rPr>
          <w:noProof/>
          <w:lang w:val="en-IE"/>
        </w:rPr>
        <w:t xml:space="preserve">and </w:t>
      </w:r>
      <w:r w:rsidR="00AE3C32" w:rsidRPr="249B2C69">
        <w:rPr>
          <w:noProof/>
          <w:lang w:val="en-IE"/>
        </w:rPr>
        <w:t>smaller businesses</w:t>
      </w:r>
      <w:r w:rsidR="00A35D5D" w:rsidRPr="249B2C69">
        <w:rPr>
          <w:noProof/>
          <w:lang w:val="en-IE"/>
        </w:rPr>
        <w:t>; s</w:t>
      </w:r>
      <w:r w:rsidR="00AE3C32" w:rsidRPr="249B2C69">
        <w:rPr>
          <w:noProof/>
          <w:lang w:val="en-IE"/>
        </w:rPr>
        <w:t xml:space="preserve">ome others (16) </w:t>
      </w:r>
      <w:r w:rsidR="00E604AD" w:rsidRPr="249B2C69">
        <w:rPr>
          <w:noProof/>
          <w:lang w:val="en-IE"/>
        </w:rPr>
        <w:t xml:space="preserve">asked </w:t>
      </w:r>
      <w:r w:rsidR="00AE3C32" w:rsidRPr="249B2C69">
        <w:rPr>
          <w:noProof/>
          <w:lang w:val="en-IE"/>
        </w:rPr>
        <w:t xml:space="preserve">for a smoother </w:t>
      </w:r>
      <w:r w:rsidR="007A7894" w:rsidRPr="249B2C69">
        <w:rPr>
          <w:noProof/>
          <w:lang w:val="en-IE"/>
        </w:rPr>
        <w:t xml:space="preserve">cross-border </w:t>
      </w:r>
      <w:r w:rsidR="00AE3C32" w:rsidRPr="249B2C69">
        <w:rPr>
          <w:noProof/>
          <w:lang w:val="en-IE"/>
        </w:rPr>
        <w:t>recognition of insolvency or restructuring procedures, including group proceedings (under the European Insolvency Regulation)</w:t>
      </w:r>
      <w:r w:rsidR="0069369A" w:rsidRPr="249B2C69">
        <w:rPr>
          <w:noProof/>
          <w:lang w:val="en-IE"/>
        </w:rPr>
        <w:t>; a</w:t>
      </w:r>
      <w:r w:rsidR="00AE3C32" w:rsidRPr="249B2C69">
        <w:rPr>
          <w:noProof/>
          <w:lang w:val="en-IE"/>
        </w:rPr>
        <w:t xml:space="preserve"> few of were in favour </w:t>
      </w:r>
      <w:r w:rsidR="0069369A" w:rsidRPr="249B2C69">
        <w:rPr>
          <w:noProof/>
          <w:lang w:val="en-IE"/>
        </w:rPr>
        <w:t xml:space="preserve">of a </w:t>
      </w:r>
      <w:r w:rsidR="00AE3C32" w:rsidRPr="249B2C69">
        <w:rPr>
          <w:noProof/>
          <w:lang w:val="en-IE"/>
        </w:rPr>
        <w:t>28</w:t>
      </w:r>
      <w:r w:rsidR="00AE3C32" w:rsidRPr="249B2C69">
        <w:rPr>
          <w:noProof/>
          <w:vertAlign w:val="superscript"/>
          <w:lang w:val="en-IE"/>
        </w:rPr>
        <w:t>th</w:t>
      </w:r>
      <w:r w:rsidR="00AE3C32" w:rsidRPr="249B2C69">
        <w:rPr>
          <w:noProof/>
          <w:lang w:val="en-IE"/>
        </w:rPr>
        <w:t xml:space="preserve"> EU insolvency regime (11) </w:t>
      </w:r>
      <w:r w:rsidR="0069369A" w:rsidRPr="249B2C69">
        <w:rPr>
          <w:noProof/>
          <w:lang w:val="en-IE"/>
        </w:rPr>
        <w:t xml:space="preserve">and some others - </w:t>
      </w:r>
      <w:r w:rsidR="00AE3C32" w:rsidRPr="249B2C69">
        <w:rPr>
          <w:noProof/>
          <w:lang w:val="en-IE"/>
        </w:rPr>
        <w:t>against (7</w:t>
      </w:r>
      <w:r w:rsidR="0069369A" w:rsidRPr="249B2C69">
        <w:rPr>
          <w:noProof/>
          <w:lang w:val="en-IE"/>
        </w:rPr>
        <w:t>)</w:t>
      </w:r>
      <w:r w:rsidR="00AE3C32" w:rsidRPr="249B2C69">
        <w:rPr>
          <w:noProof/>
          <w:lang w:val="en-IE"/>
        </w:rPr>
        <w:t>.</w:t>
      </w:r>
      <w:bookmarkStart w:id="16" w:name="_Toc211329561"/>
      <w:r w:rsidR="00AE3C32" w:rsidRPr="249B2C69">
        <w:rPr>
          <w:noProof/>
          <w:lang w:val="en-IE"/>
        </w:rPr>
        <w:t xml:space="preserve"> </w:t>
      </w:r>
      <w:bookmarkEnd w:id="16"/>
      <w:r w:rsidR="00052B78" w:rsidRPr="249B2C69">
        <w:rPr>
          <w:noProof/>
          <w:lang w:val="en-IE"/>
        </w:rPr>
        <w:t xml:space="preserve">The </w:t>
      </w:r>
      <w:r w:rsidR="00AE3C32" w:rsidRPr="249B2C69">
        <w:rPr>
          <w:noProof/>
          <w:lang w:val="en-IE"/>
        </w:rPr>
        <w:t>relaxation of the current rules o</w:t>
      </w:r>
      <w:r w:rsidR="00052B78" w:rsidRPr="249B2C69">
        <w:rPr>
          <w:noProof/>
          <w:lang w:val="en-IE"/>
        </w:rPr>
        <w:t>n</w:t>
      </w:r>
      <w:r w:rsidR="00AE3C32" w:rsidRPr="249B2C69">
        <w:rPr>
          <w:noProof/>
          <w:lang w:val="en-IE"/>
        </w:rPr>
        <w:t xml:space="preserve"> directors’ liability (24); further harmonisation of debt discharge, in particular of public debts (21); and harmonisation of ranking of claims (7)</w:t>
      </w:r>
      <w:r w:rsidR="00052B78" w:rsidRPr="249B2C69">
        <w:rPr>
          <w:noProof/>
          <w:lang w:val="en-IE"/>
        </w:rPr>
        <w:t xml:space="preserve"> were also mention</w:t>
      </w:r>
      <w:r w:rsidR="00C42A5C" w:rsidRPr="249B2C69">
        <w:rPr>
          <w:noProof/>
          <w:lang w:val="en-IE"/>
        </w:rPr>
        <w:t>e</w:t>
      </w:r>
      <w:r w:rsidR="00052B78" w:rsidRPr="249B2C69">
        <w:rPr>
          <w:noProof/>
          <w:lang w:val="en-IE"/>
        </w:rPr>
        <w:t>d</w:t>
      </w:r>
      <w:r w:rsidR="00AE3C32" w:rsidRPr="249B2C69">
        <w:rPr>
          <w:noProof/>
          <w:lang w:val="en-IE"/>
        </w:rPr>
        <w:t>.</w:t>
      </w:r>
    </w:p>
    <w:p w14:paraId="71ABA4D0" w14:textId="2A117C5C" w:rsidR="00661C58" w:rsidRDefault="000648FF" w:rsidP="009E450A">
      <w:pPr>
        <w:spacing w:after="120"/>
        <w:rPr>
          <w:noProof/>
        </w:rPr>
      </w:pPr>
      <w:r w:rsidRPr="007073AD">
        <w:rPr>
          <w:noProof/>
        </w:rPr>
        <w:t xml:space="preserve">The respondents were also asked in the consultation about the main problems related to the </w:t>
      </w:r>
      <w:r w:rsidRPr="007073AD">
        <w:rPr>
          <w:b/>
          <w:noProof/>
        </w:rPr>
        <w:t>cost of failure for companies</w:t>
      </w:r>
      <w:r w:rsidRPr="007073AD">
        <w:rPr>
          <w:noProof/>
        </w:rPr>
        <w:t xml:space="preserve"> in the single market</w:t>
      </w:r>
      <w:r w:rsidR="001A61E9" w:rsidRPr="007073AD">
        <w:rPr>
          <w:noProof/>
        </w:rPr>
        <w:t xml:space="preserve">. </w:t>
      </w:r>
      <w:r w:rsidR="001A61E9">
        <w:rPr>
          <w:noProof/>
        </w:rPr>
        <w:t xml:space="preserve">The “failure” </w:t>
      </w:r>
      <w:r w:rsidR="009D2893">
        <w:rPr>
          <w:noProof/>
        </w:rPr>
        <w:t xml:space="preserve">was </w:t>
      </w:r>
      <w:r w:rsidR="001A61E9">
        <w:rPr>
          <w:noProof/>
        </w:rPr>
        <w:t xml:space="preserve">understood in </w:t>
      </w:r>
      <w:r w:rsidR="00376D19">
        <w:rPr>
          <w:noProof/>
        </w:rPr>
        <w:t>responses</w:t>
      </w:r>
      <w:r w:rsidR="002E65DE">
        <w:rPr>
          <w:noProof/>
        </w:rPr>
        <w:t xml:space="preserve"> in different ways</w:t>
      </w:r>
      <w:r w:rsidR="00376D19">
        <w:rPr>
          <w:noProof/>
        </w:rPr>
        <w:t xml:space="preserve">; </w:t>
      </w:r>
      <w:r w:rsidR="001A61E9">
        <w:rPr>
          <w:noProof/>
        </w:rPr>
        <w:t xml:space="preserve">most often </w:t>
      </w:r>
      <w:r w:rsidR="002E65DE">
        <w:rPr>
          <w:noProof/>
        </w:rPr>
        <w:t xml:space="preserve">- </w:t>
      </w:r>
      <w:r w:rsidR="00376D19">
        <w:rPr>
          <w:noProof/>
        </w:rPr>
        <w:t>as</w:t>
      </w:r>
      <w:r w:rsidR="001A61E9">
        <w:rPr>
          <w:noProof/>
        </w:rPr>
        <w:t xml:space="preserve"> corresponding to insolvency proceedings, including preventive restructuring frameworks in the sense of Insolvency Directive (EU) 2019/1023 and insolvency liquidation</w:t>
      </w:r>
      <w:r w:rsidR="00017EF1">
        <w:rPr>
          <w:noProof/>
        </w:rPr>
        <w:t>;</w:t>
      </w:r>
      <w:r w:rsidR="00020CA1">
        <w:rPr>
          <w:noProof/>
        </w:rPr>
        <w:t xml:space="preserve"> </w:t>
      </w:r>
      <w:r w:rsidR="00017EF1">
        <w:rPr>
          <w:noProof/>
        </w:rPr>
        <w:t xml:space="preserve">in some responses - </w:t>
      </w:r>
      <w:r w:rsidR="00020CA1">
        <w:rPr>
          <w:noProof/>
        </w:rPr>
        <w:t xml:space="preserve">as </w:t>
      </w:r>
      <w:r w:rsidR="001A61E9">
        <w:rPr>
          <w:noProof/>
        </w:rPr>
        <w:t>link</w:t>
      </w:r>
      <w:r w:rsidR="00020CA1">
        <w:rPr>
          <w:noProof/>
        </w:rPr>
        <w:t>ed</w:t>
      </w:r>
      <w:r w:rsidR="001A61E9">
        <w:rPr>
          <w:noProof/>
        </w:rPr>
        <w:t xml:space="preserve"> </w:t>
      </w:r>
      <w:r w:rsidR="00020CA1">
        <w:rPr>
          <w:noProof/>
        </w:rPr>
        <w:t xml:space="preserve">to </w:t>
      </w:r>
      <w:r w:rsidR="001A61E9">
        <w:rPr>
          <w:noProof/>
        </w:rPr>
        <w:t>company law winding-up/liquidation, voluntary or involuntary, outside the scope of insolvency proceedings</w:t>
      </w:r>
      <w:r w:rsidR="00017EF1">
        <w:rPr>
          <w:noProof/>
        </w:rPr>
        <w:t xml:space="preserve">; and </w:t>
      </w:r>
      <w:r w:rsidR="00020CA1">
        <w:rPr>
          <w:noProof/>
        </w:rPr>
        <w:t>f</w:t>
      </w:r>
      <w:r w:rsidR="001A61E9">
        <w:rPr>
          <w:noProof/>
        </w:rPr>
        <w:t xml:space="preserve">inally, </w:t>
      </w:r>
      <w:r w:rsidR="00017EF1">
        <w:rPr>
          <w:noProof/>
        </w:rPr>
        <w:t xml:space="preserve">in </w:t>
      </w:r>
      <w:r w:rsidR="000933E7">
        <w:rPr>
          <w:noProof/>
        </w:rPr>
        <w:t xml:space="preserve">some </w:t>
      </w:r>
      <w:r w:rsidR="001A61E9">
        <w:rPr>
          <w:noProof/>
        </w:rPr>
        <w:t xml:space="preserve">responses </w:t>
      </w:r>
      <w:r w:rsidR="00017EF1">
        <w:rPr>
          <w:noProof/>
        </w:rPr>
        <w:t xml:space="preserve">– </w:t>
      </w:r>
      <w:r w:rsidR="00E53E57">
        <w:rPr>
          <w:noProof/>
        </w:rPr>
        <w:t xml:space="preserve">more broadly as </w:t>
      </w:r>
      <w:r w:rsidR="001A61E9">
        <w:rPr>
          <w:noProof/>
        </w:rPr>
        <w:t>“closure of the company”</w:t>
      </w:r>
      <w:r w:rsidR="00882436">
        <w:rPr>
          <w:noProof/>
        </w:rPr>
        <w:t xml:space="preserve">, and therefore, the </w:t>
      </w:r>
      <w:r w:rsidR="00ED40AF">
        <w:rPr>
          <w:noProof/>
        </w:rPr>
        <w:t xml:space="preserve">replies were not always easy to </w:t>
      </w:r>
      <w:r w:rsidR="00FF2EE0">
        <w:rPr>
          <w:noProof/>
        </w:rPr>
        <w:t xml:space="preserve">assess </w:t>
      </w:r>
      <w:r w:rsidR="00ED40AF">
        <w:rPr>
          <w:noProof/>
        </w:rPr>
        <w:t>coherently</w:t>
      </w:r>
      <w:r w:rsidR="001A61E9">
        <w:rPr>
          <w:noProof/>
        </w:rPr>
        <w:t xml:space="preserve">. </w:t>
      </w:r>
      <w:r w:rsidR="00DB2DE9">
        <w:rPr>
          <w:noProof/>
        </w:rPr>
        <w:t>The responding p</w:t>
      </w:r>
      <w:r w:rsidR="00DB2DE9" w:rsidRPr="005A1492">
        <w:rPr>
          <w:noProof/>
        </w:rPr>
        <w:t>ublic authorities</w:t>
      </w:r>
      <w:r w:rsidR="00DB2DE9">
        <w:rPr>
          <w:noProof/>
        </w:rPr>
        <w:t xml:space="preserve"> understood failure as insolvency and expressly referred to </w:t>
      </w:r>
      <w:r w:rsidR="00DB2DE9" w:rsidRPr="005A1492">
        <w:rPr>
          <w:noProof/>
        </w:rPr>
        <w:t xml:space="preserve">the </w:t>
      </w:r>
      <w:r w:rsidR="00DB2DE9">
        <w:rPr>
          <w:noProof/>
        </w:rPr>
        <w:t>I</w:t>
      </w:r>
      <w:r w:rsidR="00DB2DE9" w:rsidRPr="005A1492">
        <w:rPr>
          <w:noProof/>
        </w:rPr>
        <w:t xml:space="preserve">nsolvency </w:t>
      </w:r>
      <w:r w:rsidR="00DB2DE9">
        <w:rPr>
          <w:noProof/>
        </w:rPr>
        <w:t>D</w:t>
      </w:r>
      <w:r w:rsidR="00DB2DE9" w:rsidRPr="005A1492">
        <w:rPr>
          <w:noProof/>
        </w:rPr>
        <w:t>irective (EU) 2019/</w:t>
      </w:r>
      <w:r w:rsidR="00DB2DE9" w:rsidRPr="6A37A337">
        <w:rPr>
          <w:noProof/>
        </w:rPr>
        <w:t>1023 and</w:t>
      </w:r>
      <w:r w:rsidR="00DB2DE9">
        <w:rPr>
          <w:noProof/>
        </w:rPr>
        <w:t xml:space="preserve"> the related problems includ</w:t>
      </w:r>
      <w:r w:rsidR="00C726ED">
        <w:rPr>
          <w:noProof/>
        </w:rPr>
        <w:t>ing</w:t>
      </w:r>
      <w:r w:rsidR="00DB2DE9">
        <w:rPr>
          <w:noProof/>
        </w:rPr>
        <w:t xml:space="preserve"> </w:t>
      </w:r>
      <w:r w:rsidR="00DB2DE9" w:rsidRPr="00C44CE5">
        <w:rPr>
          <w:noProof/>
        </w:rPr>
        <w:t>unrecovered investments, outstanding debts and costly insolv</w:t>
      </w:r>
      <w:r w:rsidR="00DB2DE9">
        <w:rPr>
          <w:noProof/>
        </w:rPr>
        <w:t>ency proceedings coupled with</w:t>
      </w:r>
      <w:r w:rsidR="00DB2DE9" w:rsidRPr="00C44CE5">
        <w:rPr>
          <w:noProof/>
        </w:rPr>
        <w:t xml:space="preserve"> reputational damage and cultural stigma</w:t>
      </w:r>
      <w:r w:rsidR="005A7C0A">
        <w:rPr>
          <w:noProof/>
        </w:rPr>
        <w:t xml:space="preserve">, which were seen as </w:t>
      </w:r>
      <w:r w:rsidR="00DB2DE9" w:rsidRPr="005A1492">
        <w:rPr>
          <w:noProof/>
        </w:rPr>
        <w:t>increas</w:t>
      </w:r>
      <w:r w:rsidR="005A7C0A">
        <w:rPr>
          <w:noProof/>
        </w:rPr>
        <w:t>ing</w:t>
      </w:r>
      <w:r w:rsidR="00DB2DE9" w:rsidRPr="00244460">
        <w:rPr>
          <w:noProof/>
        </w:rPr>
        <w:t xml:space="preserve"> uncertainty, </w:t>
      </w:r>
      <w:r w:rsidR="00DB2DE9" w:rsidRPr="005A1492">
        <w:rPr>
          <w:noProof/>
        </w:rPr>
        <w:t>discourag</w:t>
      </w:r>
      <w:r w:rsidR="006952E6">
        <w:rPr>
          <w:noProof/>
        </w:rPr>
        <w:t>ing</w:t>
      </w:r>
      <w:r w:rsidR="00DB2DE9" w:rsidRPr="00244460">
        <w:rPr>
          <w:noProof/>
        </w:rPr>
        <w:t xml:space="preserve"> cross-border activity and </w:t>
      </w:r>
      <w:r w:rsidR="00DB2DE9" w:rsidRPr="005A1492">
        <w:rPr>
          <w:noProof/>
        </w:rPr>
        <w:t>reduc</w:t>
      </w:r>
      <w:r w:rsidR="006952E6">
        <w:rPr>
          <w:noProof/>
        </w:rPr>
        <w:t xml:space="preserve">ing </w:t>
      </w:r>
      <w:r w:rsidR="00DB2DE9" w:rsidRPr="00244460">
        <w:rPr>
          <w:noProof/>
        </w:rPr>
        <w:t>second-chance opportunities.</w:t>
      </w:r>
      <w:r w:rsidR="00DB2DE9">
        <w:rPr>
          <w:noProof/>
        </w:rPr>
        <w:t xml:space="preserve"> </w:t>
      </w:r>
      <w:r w:rsidR="00CA3FE2">
        <w:rPr>
          <w:noProof/>
        </w:rPr>
        <w:t>The responding b</w:t>
      </w:r>
      <w:r w:rsidR="00CA3FE2" w:rsidRPr="005A1492">
        <w:rPr>
          <w:noProof/>
        </w:rPr>
        <w:t xml:space="preserve">usiness </w:t>
      </w:r>
      <w:r w:rsidR="00CA3FE2">
        <w:rPr>
          <w:noProof/>
        </w:rPr>
        <w:t>a</w:t>
      </w:r>
      <w:r w:rsidR="00CA3FE2" w:rsidRPr="005A1492">
        <w:rPr>
          <w:noProof/>
        </w:rPr>
        <w:t>ssociations</w:t>
      </w:r>
      <w:r w:rsidR="00CA3FE2">
        <w:rPr>
          <w:noProof/>
        </w:rPr>
        <w:t xml:space="preserve"> suggested that k</w:t>
      </w:r>
      <w:r w:rsidR="00CA3FE2" w:rsidRPr="0099689E">
        <w:rPr>
          <w:noProof/>
        </w:rPr>
        <w:t xml:space="preserve">ey problems </w:t>
      </w:r>
      <w:r w:rsidR="00CA3FE2">
        <w:rPr>
          <w:noProof/>
        </w:rPr>
        <w:t xml:space="preserve">related to cost of failure </w:t>
      </w:r>
      <w:r w:rsidR="00CA3FE2" w:rsidRPr="005A1492">
        <w:rPr>
          <w:noProof/>
        </w:rPr>
        <w:t>include</w:t>
      </w:r>
      <w:r w:rsidR="00CA3FE2">
        <w:rPr>
          <w:noProof/>
        </w:rPr>
        <w:t>d</w:t>
      </w:r>
      <w:r w:rsidR="00CA3FE2" w:rsidRPr="0099689E">
        <w:rPr>
          <w:noProof/>
        </w:rPr>
        <w:t xml:space="preserve"> high restructuring costs compared to international peers, leading to a competitive disadvantage</w:t>
      </w:r>
      <w:r w:rsidR="00CA3FE2">
        <w:rPr>
          <w:noProof/>
        </w:rPr>
        <w:t>; n</w:t>
      </w:r>
      <w:r w:rsidR="00CA3FE2" w:rsidRPr="0099689E">
        <w:rPr>
          <w:noProof/>
        </w:rPr>
        <w:t xml:space="preserve">on-financial costs, such as reputational damage and cultural stigma surrounding business failure in many European countries, </w:t>
      </w:r>
      <w:r w:rsidR="00CA3FE2">
        <w:rPr>
          <w:noProof/>
        </w:rPr>
        <w:t xml:space="preserve">which </w:t>
      </w:r>
      <w:r w:rsidR="00CA3FE2" w:rsidRPr="0099689E">
        <w:rPr>
          <w:noProof/>
        </w:rPr>
        <w:t>discourag</w:t>
      </w:r>
      <w:r w:rsidR="00CA3FE2">
        <w:rPr>
          <w:noProof/>
        </w:rPr>
        <w:t>e</w:t>
      </w:r>
      <w:r w:rsidR="00CA3FE2" w:rsidRPr="0099689E">
        <w:rPr>
          <w:noProof/>
        </w:rPr>
        <w:t xml:space="preserve"> entrepreneurs from re-entering the market and undertaking risk.</w:t>
      </w:r>
      <w:r w:rsidR="006970FA" w:rsidRPr="006970FA">
        <w:rPr>
          <w:noProof/>
        </w:rPr>
        <w:t xml:space="preserve"> </w:t>
      </w:r>
      <w:r w:rsidR="00661C58">
        <w:rPr>
          <w:noProof/>
        </w:rPr>
        <w:t>Some companies</w:t>
      </w:r>
      <w:r w:rsidR="00661C58" w:rsidRPr="00AD0145">
        <w:rPr>
          <w:noProof/>
        </w:rPr>
        <w:t xml:space="preserve"> </w:t>
      </w:r>
      <w:r w:rsidR="00661C58">
        <w:rPr>
          <w:noProof/>
        </w:rPr>
        <w:t xml:space="preserve">stressed that insolvency restructurings were time-consuming. </w:t>
      </w:r>
      <w:r w:rsidR="00661C58" w:rsidRPr="00AD0145">
        <w:rPr>
          <w:noProof/>
        </w:rPr>
        <w:t xml:space="preserve">Some </w:t>
      </w:r>
      <w:r w:rsidR="00661C58">
        <w:rPr>
          <w:noProof/>
        </w:rPr>
        <w:t>citizens (mainly</w:t>
      </w:r>
      <w:r w:rsidR="00661C58" w:rsidRPr="00AD0145">
        <w:rPr>
          <w:noProof/>
        </w:rPr>
        <w:t xml:space="preserve"> founders</w:t>
      </w:r>
      <w:r w:rsidR="00661C58">
        <w:rPr>
          <w:noProof/>
        </w:rPr>
        <w:t xml:space="preserve"> and investors)</w:t>
      </w:r>
      <w:r w:rsidR="00EA2C37">
        <w:rPr>
          <w:noProof/>
        </w:rPr>
        <w:t xml:space="preserve"> and</w:t>
      </w:r>
      <w:r w:rsidR="00661C58" w:rsidRPr="00AD0145">
        <w:rPr>
          <w:noProof/>
        </w:rPr>
        <w:t xml:space="preserve"> companies, </w:t>
      </w:r>
      <w:r w:rsidR="00EA2C37">
        <w:rPr>
          <w:noProof/>
        </w:rPr>
        <w:t xml:space="preserve">mentioned </w:t>
      </w:r>
      <w:r w:rsidR="00661C58">
        <w:rPr>
          <w:noProof/>
        </w:rPr>
        <w:t>that r</w:t>
      </w:r>
      <w:r w:rsidR="00661C58" w:rsidRPr="00BF3568">
        <w:rPr>
          <w:noProof/>
        </w:rPr>
        <w:t xml:space="preserve">edundancy costs across </w:t>
      </w:r>
      <w:r w:rsidR="00661C58">
        <w:rPr>
          <w:noProof/>
        </w:rPr>
        <w:t>Member States we</w:t>
      </w:r>
      <w:r w:rsidR="00661C58" w:rsidRPr="00BF3568">
        <w:rPr>
          <w:noProof/>
        </w:rPr>
        <w:t>re high</w:t>
      </w:r>
      <w:r w:rsidR="00661C58">
        <w:rPr>
          <w:noProof/>
        </w:rPr>
        <w:t xml:space="preserve"> and the redundancy rules too rigid,</w:t>
      </w:r>
      <w:r w:rsidR="00661C58" w:rsidRPr="00AD0145">
        <w:rPr>
          <w:noProof/>
        </w:rPr>
        <w:t xml:space="preserve"> limit</w:t>
      </w:r>
      <w:r w:rsidR="006E14F3">
        <w:rPr>
          <w:noProof/>
        </w:rPr>
        <w:t xml:space="preserve">ing </w:t>
      </w:r>
      <w:r w:rsidR="00710F44">
        <w:rPr>
          <w:noProof/>
        </w:rPr>
        <w:t xml:space="preserve">companies’ </w:t>
      </w:r>
      <w:r w:rsidR="00661C58" w:rsidRPr="00BF3568">
        <w:rPr>
          <w:noProof/>
        </w:rPr>
        <w:t xml:space="preserve">ability to restructure to </w:t>
      </w:r>
      <w:r w:rsidR="00661C58">
        <w:rPr>
          <w:noProof/>
        </w:rPr>
        <w:t>adapt to the market</w:t>
      </w:r>
      <w:r w:rsidR="00661C58" w:rsidRPr="00BF3568">
        <w:rPr>
          <w:noProof/>
        </w:rPr>
        <w:t xml:space="preserve"> needs</w:t>
      </w:r>
      <w:r w:rsidR="006B491B">
        <w:rPr>
          <w:noProof/>
        </w:rPr>
        <w:t>.</w:t>
      </w:r>
      <w:r w:rsidR="00661C58">
        <w:rPr>
          <w:noProof/>
        </w:rPr>
        <w:t xml:space="preserve"> </w:t>
      </w:r>
      <w:r w:rsidR="00661C58" w:rsidRPr="00AD0145">
        <w:rPr>
          <w:noProof/>
        </w:rPr>
        <w:t xml:space="preserve">Some </w:t>
      </w:r>
      <w:r w:rsidR="00661C58">
        <w:rPr>
          <w:noProof/>
        </w:rPr>
        <w:t>other</w:t>
      </w:r>
      <w:r w:rsidR="00661C58" w:rsidRPr="00AD0145">
        <w:rPr>
          <w:noProof/>
        </w:rPr>
        <w:t xml:space="preserve"> companies</w:t>
      </w:r>
      <w:r w:rsidR="00661C58">
        <w:rPr>
          <w:noProof/>
        </w:rPr>
        <w:t xml:space="preserve"> saw the divergent rules on cross-border closures,</w:t>
      </w:r>
      <w:r w:rsidR="00661C58" w:rsidRPr="00850090">
        <w:rPr>
          <w:noProof/>
        </w:rPr>
        <w:t xml:space="preserve"> </w:t>
      </w:r>
      <w:r w:rsidR="00661C58">
        <w:rPr>
          <w:noProof/>
        </w:rPr>
        <w:t xml:space="preserve">the </w:t>
      </w:r>
      <w:r w:rsidR="00661C58" w:rsidRPr="00850090">
        <w:rPr>
          <w:noProof/>
        </w:rPr>
        <w:t>complex, slow and expensive exit procedures</w:t>
      </w:r>
      <w:r w:rsidR="00661C58">
        <w:rPr>
          <w:noProof/>
        </w:rPr>
        <w:t xml:space="preserve"> where l</w:t>
      </w:r>
      <w:r w:rsidR="00661C58" w:rsidRPr="00850090">
        <w:rPr>
          <w:noProof/>
        </w:rPr>
        <w:t>iquidation of</w:t>
      </w:r>
      <w:r w:rsidR="00661C58">
        <w:rPr>
          <w:noProof/>
        </w:rPr>
        <w:t>ten</w:t>
      </w:r>
      <w:r w:rsidR="00661C58" w:rsidRPr="00850090">
        <w:rPr>
          <w:noProof/>
        </w:rPr>
        <w:t xml:space="preserve"> requires notarized filings, public notices and long waiting periods</w:t>
      </w:r>
      <w:r w:rsidR="00661C58" w:rsidRPr="009576F0">
        <w:rPr>
          <w:noProof/>
        </w:rPr>
        <w:t xml:space="preserve"> </w:t>
      </w:r>
      <w:r w:rsidR="00661C58">
        <w:rPr>
          <w:noProof/>
        </w:rPr>
        <w:t>as problematic</w:t>
      </w:r>
      <w:r w:rsidR="00AD098C">
        <w:rPr>
          <w:noProof/>
        </w:rPr>
        <w:t>, with e</w:t>
      </w:r>
      <w:r w:rsidR="00661C58" w:rsidRPr="00850090">
        <w:rPr>
          <w:noProof/>
        </w:rPr>
        <w:t>ven</w:t>
      </w:r>
      <w:r w:rsidR="00661C58">
        <w:rPr>
          <w:noProof/>
        </w:rPr>
        <w:t xml:space="preserve"> </w:t>
      </w:r>
      <w:r w:rsidR="00661C58" w:rsidRPr="00850090">
        <w:rPr>
          <w:noProof/>
        </w:rPr>
        <w:t>dormant companies</w:t>
      </w:r>
      <w:r w:rsidR="00661C58">
        <w:rPr>
          <w:noProof/>
        </w:rPr>
        <w:t xml:space="preserve"> subject to high compliance costs. In addition, </w:t>
      </w:r>
      <w:r w:rsidR="00661C58" w:rsidRPr="00AD0145">
        <w:rPr>
          <w:noProof/>
        </w:rPr>
        <w:t>some companies</w:t>
      </w:r>
      <w:r w:rsidR="00661C58">
        <w:rPr>
          <w:noProof/>
        </w:rPr>
        <w:t xml:space="preserve"> </w:t>
      </w:r>
      <w:r w:rsidR="00661C58" w:rsidRPr="00AD0145">
        <w:rPr>
          <w:noProof/>
        </w:rPr>
        <w:t xml:space="preserve">and </w:t>
      </w:r>
      <w:r w:rsidR="00661C58">
        <w:rPr>
          <w:noProof/>
        </w:rPr>
        <w:t xml:space="preserve">citizens (mainly </w:t>
      </w:r>
      <w:r w:rsidR="00661C58" w:rsidRPr="00AD0145">
        <w:rPr>
          <w:noProof/>
        </w:rPr>
        <w:t xml:space="preserve">founders </w:t>
      </w:r>
      <w:r w:rsidR="00661C58">
        <w:rPr>
          <w:noProof/>
        </w:rPr>
        <w:t>and investors) noted that f</w:t>
      </w:r>
      <w:r w:rsidR="00661C58" w:rsidRPr="00850090">
        <w:rPr>
          <w:noProof/>
        </w:rPr>
        <w:t>ounders risk personal liability and stigma, with little support for second attempts</w:t>
      </w:r>
      <w:r w:rsidR="00661C58">
        <w:rPr>
          <w:noProof/>
        </w:rPr>
        <w:t xml:space="preserve">, which </w:t>
      </w:r>
      <w:r w:rsidR="00661C58" w:rsidRPr="00850090">
        <w:rPr>
          <w:noProof/>
        </w:rPr>
        <w:t>discourages innovation, agility and the willingness to take entrepreneurial risks essential for startup growth.</w:t>
      </w:r>
    </w:p>
    <w:p w14:paraId="2984C85E" w14:textId="56FA8592" w:rsidR="00881929" w:rsidRPr="007073AD" w:rsidRDefault="00EA4C9A" w:rsidP="00AE3C32">
      <w:pPr>
        <w:rPr>
          <w:noProof/>
        </w:rPr>
      </w:pPr>
      <w:r>
        <w:rPr>
          <w:noProof/>
        </w:rPr>
        <w:t xml:space="preserve">As to </w:t>
      </w:r>
      <w:r w:rsidRPr="00EA4C9A">
        <w:rPr>
          <w:b/>
          <w:bCs/>
          <w:noProof/>
        </w:rPr>
        <w:t>potential measures to reduce the financial and non-financial cost of failure</w:t>
      </w:r>
      <w:r>
        <w:rPr>
          <w:noProof/>
        </w:rPr>
        <w:t xml:space="preserve">, </w:t>
      </w:r>
      <w:r w:rsidR="003B27B8">
        <w:rPr>
          <w:noProof/>
        </w:rPr>
        <w:t>th</w:t>
      </w:r>
      <w:r w:rsidR="007E023E" w:rsidRPr="007073AD">
        <w:rPr>
          <w:noProof/>
        </w:rPr>
        <w:t xml:space="preserve">e responding public authorities suggested simplification of insolvency procedures, in particular for early-stage companies, </w:t>
      </w:r>
      <w:r w:rsidR="00384D57" w:rsidRPr="007073AD">
        <w:rPr>
          <w:noProof/>
        </w:rPr>
        <w:t xml:space="preserve">to be </w:t>
      </w:r>
      <w:r w:rsidR="007E023E" w:rsidRPr="007073AD">
        <w:rPr>
          <w:noProof/>
        </w:rPr>
        <w:t>preceded by an assessment of the</w:t>
      </w:r>
      <w:r w:rsidR="007E023E" w:rsidRPr="0082291C">
        <w:rPr>
          <w:noProof/>
        </w:rPr>
        <w:t xml:space="preserve"> </w:t>
      </w:r>
      <w:r w:rsidR="007E023E">
        <w:rPr>
          <w:noProof/>
        </w:rPr>
        <w:t>Insolvency Directive (EU) 2019/1023</w:t>
      </w:r>
      <w:r w:rsidR="00D141B4">
        <w:rPr>
          <w:noProof/>
        </w:rPr>
        <w:t xml:space="preserve"> </w:t>
      </w:r>
      <w:r w:rsidR="0011783B">
        <w:rPr>
          <w:noProof/>
        </w:rPr>
        <w:t xml:space="preserve">and mentioned that the </w:t>
      </w:r>
      <w:r w:rsidR="007E023E">
        <w:rPr>
          <w:noProof/>
        </w:rPr>
        <w:t>promotion of</w:t>
      </w:r>
      <w:r w:rsidR="007E023E" w:rsidRPr="00C46508">
        <w:rPr>
          <w:noProof/>
        </w:rPr>
        <w:t xml:space="preserve"> a “prevention culture” would </w:t>
      </w:r>
      <w:r w:rsidR="0011783B">
        <w:rPr>
          <w:noProof/>
        </w:rPr>
        <w:t xml:space="preserve">be </w:t>
      </w:r>
      <w:r w:rsidR="007E023E" w:rsidRPr="00C46508">
        <w:rPr>
          <w:noProof/>
        </w:rPr>
        <w:t>help</w:t>
      </w:r>
      <w:r w:rsidR="0011783B">
        <w:rPr>
          <w:noProof/>
        </w:rPr>
        <w:t>ful</w:t>
      </w:r>
      <w:r w:rsidR="007E023E" w:rsidRPr="00C46508">
        <w:rPr>
          <w:noProof/>
        </w:rPr>
        <w:t xml:space="preserve"> </w:t>
      </w:r>
      <w:r w:rsidR="0011783B">
        <w:rPr>
          <w:noProof/>
        </w:rPr>
        <w:t xml:space="preserve">and </w:t>
      </w:r>
      <w:r w:rsidR="007E023E">
        <w:rPr>
          <w:noProof/>
        </w:rPr>
        <w:t xml:space="preserve">that a cultural change </w:t>
      </w:r>
      <w:r w:rsidR="0011783B">
        <w:rPr>
          <w:noProof/>
        </w:rPr>
        <w:t>wa</w:t>
      </w:r>
      <w:r w:rsidR="007E023E">
        <w:rPr>
          <w:noProof/>
        </w:rPr>
        <w:t xml:space="preserve">s required </w:t>
      </w:r>
      <w:r w:rsidR="0011783B">
        <w:rPr>
          <w:noProof/>
        </w:rPr>
        <w:t xml:space="preserve">to </w:t>
      </w:r>
      <w:r w:rsidR="007E023E" w:rsidRPr="00CD48A2">
        <w:rPr>
          <w:noProof/>
        </w:rPr>
        <w:t>reframe</w:t>
      </w:r>
      <w:r w:rsidR="0011783B">
        <w:rPr>
          <w:noProof/>
        </w:rPr>
        <w:t xml:space="preserve"> failure</w:t>
      </w:r>
      <w:r w:rsidR="007E023E" w:rsidRPr="00CD48A2">
        <w:rPr>
          <w:noProof/>
        </w:rPr>
        <w:t xml:space="preserve"> as a learning opportunity, not a permanent stigma. </w:t>
      </w:r>
      <w:r w:rsidR="007E023E">
        <w:rPr>
          <w:noProof/>
        </w:rPr>
        <w:t>It was also proposed to make</w:t>
      </w:r>
      <w:r w:rsidR="007E023E" w:rsidRPr="00FA33A1">
        <w:rPr>
          <w:noProof/>
        </w:rPr>
        <w:t xml:space="preserve"> the voluntary liquidation procedure for 28</w:t>
      </w:r>
      <w:r w:rsidR="007E023E" w:rsidRPr="003A5691">
        <w:rPr>
          <w:noProof/>
          <w:vertAlign w:val="superscript"/>
        </w:rPr>
        <w:t>th</w:t>
      </w:r>
      <w:r w:rsidR="007E023E" w:rsidRPr="00FA33A1">
        <w:rPr>
          <w:noProof/>
        </w:rPr>
        <w:t xml:space="preserve"> regime as simple as possible </w:t>
      </w:r>
      <w:r w:rsidR="007E023E">
        <w:rPr>
          <w:noProof/>
        </w:rPr>
        <w:t xml:space="preserve">to </w:t>
      </w:r>
      <w:r w:rsidR="007E023E" w:rsidRPr="00FA33A1">
        <w:rPr>
          <w:noProof/>
        </w:rPr>
        <w:t>reduce the need for insolvency proceedings.</w:t>
      </w:r>
      <w:r w:rsidR="000E4B0B" w:rsidRPr="000E4B0B">
        <w:rPr>
          <w:bCs/>
          <w:noProof/>
        </w:rPr>
        <w:t xml:space="preserve"> </w:t>
      </w:r>
      <w:r w:rsidR="000E4B0B">
        <w:rPr>
          <w:bCs/>
          <w:noProof/>
        </w:rPr>
        <w:t>The responding b</w:t>
      </w:r>
      <w:r w:rsidR="000E4B0B" w:rsidRPr="005729D9">
        <w:rPr>
          <w:noProof/>
        </w:rPr>
        <w:t>usiness associations</w:t>
      </w:r>
      <w:r w:rsidR="000E4B0B" w:rsidRPr="002E3CA0">
        <w:rPr>
          <w:noProof/>
        </w:rPr>
        <w:t xml:space="preserve"> </w:t>
      </w:r>
      <w:r w:rsidR="00AC72E0">
        <w:rPr>
          <w:noProof/>
        </w:rPr>
        <w:t xml:space="preserve">called for </w:t>
      </w:r>
      <w:r w:rsidR="000E4B0B" w:rsidRPr="002E3CA0">
        <w:rPr>
          <w:noProof/>
        </w:rPr>
        <w:t xml:space="preserve">EU-wide </w:t>
      </w:r>
      <w:r w:rsidR="000E4B0B" w:rsidRPr="005729D9">
        <w:rPr>
          <w:bCs/>
          <w:noProof/>
        </w:rPr>
        <w:t>harmoni</w:t>
      </w:r>
      <w:r w:rsidR="000E4B0B">
        <w:rPr>
          <w:bCs/>
          <w:noProof/>
        </w:rPr>
        <w:t>s</w:t>
      </w:r>
      <w:r w:rsidR="000E4B0B" w:rsidRPr="005729D9">
        <w:rPr>
          <w:bCs/>
          <w:noProof/>
        </w:rPr>
        <w:t>ation</w:t>
      </w:r>
      <w:r w:rsidR="000E4B0B" w:rsidRPr="002E3CA0">
        <w:rPr>
          <w:noProof/>
        </w:rPr>
        <w:t xml:space="preserve"> of insolvency rules, faster</w:t>
      </w:r>
      <w:r w:rsidR="000E4B0B">
        <w:rPr>
          <w:bCs/>
          <w:noProof/>
        </w:rPr>
        <w:t xml:space="preserve"> and</w:t>
      </w:r>
      <w:r w:rsidR="000E4B0B">
        <w:rPr>
          <w:noProof/>
        </w:rPr>
        <w:t xml:space="preserve"> automatic recognition of insolvency proceedings,</w:t>
      </w:r>
      <w:r w:rsidR="000E4B0B" w:rsidRPr="002E3CA0">
        <w:rPr>
          <w:noProof/>
        </w:rPr>
        <w:t xml:space="preserve"> reduced bureaucracy, </w:t>
      </w:r>
      <w:r w:rsidR="000E4B0B" w:rsidRPr="00AC72E0">
        <w:rPr>
          <w:rStyle w:val="Strong"/>
          <w:b w:val="0"/>
          <w:bCs w:val="0"/>
          <w:noProof/>
          <w:color w:val="000000" w:themeColor="text1"/>
        </w:rPr>
        <w:t>fast-track micro-liquidation procedures, automatic debt discharge and director safe harbour protections</w:t>
      </w:r>
      <w:r w:rsidR="000E4B0B" w:rsidRPr="002E3CA0">
        <w:rPr>
          <w:noProof/>
        </w:rPr>
        <w:t>.</w:t>
      </w:r>
      <w:r w:rsidR="000E4B0B">
        <w:rPr>
          <w:noProof/>
        </w:rPr>
        <w:t xml:space="preserve"> </w:t>
      </w:r>
      <w:r w:rsidR="003B27B8">
        <w:rPr>
          <w:noProof/>
        </w:rPr>
        <w:t>The responding c</w:t>
      </w:r>
      <w:r w:rsidR="003B27B8" w:rsidRPr="005729D9">
        <w:rPr>
          <w:noProof/>
        </w:rPr>
        <w:t>ompanies</w:t>
      </w:r>
      <w:r w:rsidR="003B27B8">
        <w:rPr>
          <w:noProof/>
        </w:rPr>
        <w:t xml:space="preserve"> and citizens (mainly </w:t>
      </w:r>
      <w:r w:rsidR="003B27B8" w:rsidRPr="005729D9">
        <w:rPr>
          <w:noProof/>
        </w:rPr>
        <w:t xml:space="preserve">founders </w:t>
      </w:r>
      <w:r w:rsidR="003B27B8">
        <w:rPr>
          <w:noProof/>
        </w:rPr>
        <w:t>and investors) had divergent views</w:t>
      </w:r>
      <w:r w:rsidR="0087044B">
        <w:rPr>
          <w:noProof/>
        </w:rPr>
        <w:t>:</w:t>
      </w:r>
      <w:r w:rsidR="003B27B8">
        <w:rPr>
          <w:noProof/>
        </w:rPr>
        <w:t xml:space="preserve"> </w:t>
      </w:r>
      <w:r w:rsidR="0087044B">
        <w:rPr>
          <w:noProof/>
        </w:rPr>
        <w:t>s</w:t>
      </w:r>
      <w:r w:rsidR="003B27B8" w:rsidRPr="005729D9">
        <w:rPr>
          <w:noProof/>
        </w:rPr>
        <w:t>ome</w:t>
      </w:r>
      <w:r w:rsidR="003B27B8">
        <w:rPr>
          <w:noProof/>
        </w:rPr>
        <w:t xml:space="preserve"> </w:t>
      </w:r>
      <w:r w:rsidR="003B27B8" w:rsidRPr="005729D9">
        <w:rPr>
          <w:noProof/>
        </w:rPr>
        <w:t>focus</w:t>
      </w:r>
      <w:r w:rsidR="003B27B8">
        <w:rPr>
          <w:noProof/>
        </w:rPr>
        <w:t>ed</w:t>
      </w:r>
      <w:r w:rsidR="003B27B8" w:rsidRPr="005729D9">
        <w:rPr>
          <w:noProof/>
        </w:rPr>
        <w:t xml:space="preserve"> on</w:t>
      </w:r>
      <w:r w:rsidR="003B27B8">
        <w:rPr>
          <w:noProof/>
        </w:rPr>
        <w:t xml:space="preserve"> harmonisation of the insolvency regimes, the establishment of second-chance frameworks and the change of culture related to insolvency stigma</w:t>
      </w:r>
      <w:r w:rsidR="0087044B">
        <w:rPr>
          <w:noProof/>
        </w:rPr>
        <w:t xml:space="preserve">; some </w:t>
      </w:r>
      <w:r w:rsidR="003B27B8">
        <w:rPr>
          <w:noProof/>
        </w:rPr>
        <w:t>other</w:t>
      </w:r>
      <w:r w:rsidR="0087044B">
        <w:rPr>
          <w:noProof/>
        </w:rPr>
        <w:t>s</w:t>
      </w:r>
      <w:r w:rsidR="003B27B8">
        <w:rPr>
          <w:noProof/>
        </w:rPr>
        <w:t xml:space="preserve"> noted that a digital, s</w:t>
      </w:r>
      <w:r w:rsidR="003B27B8" w:rsidRPr="004A5D15">
        <w:rPr>
          <w:noProof/>
        </w:rPr>
        <w:t xml:space="preserve">implified, fast and transparent </w:t>
      </w:r>
      <w:r w:rsidR="003B27B8">
        <w:rPr>
          <w:noProof/>
        </w:rPr>
        <w:t xml:space="preserve">closure </w:t>
      </w:r>
      <w:r w:rsidR="003B27B8" w:rsidRPr="004A5D15">
        <w:rPr>
          <w:noProof/>
        </w:rPr>
        <w:t>procedure would reduce both costs of failure</w:t>
      </w:r>
      <w:r w:rsidR="003B27B8">
        <w:rPr>
          <w:noProof/>
        </w:rPr>
        <w:t xml:space="preserve"> and allow e</w:t>
      </w:r>
      <w:r w:rsidR="003B27B8" w:rsidRPr="004A5D15">
        <w:rPr>
          <w:noProof/>
        </w:rPr>
        <w:t xml:space="preserve">ntrepreneurs </w:t>
      </w:r>
      <w:r w:rsidR="003B27B8">
        <w:rPr>
          <w:noProof/>
        </w:rPr>
        <w:t xml:space="preserve">to re-enter the market without unnecessary </w:t>
      </w:r>
      <w:r w:rsidR="003B27B8" w:rsidRPr="004A5D15">
        <w:rPr>
          <w:noProof/>
        </w:rPr>
        <w:t>legal and administrative burdens</w:t>
      </w:r>
      <w:r w:rsidR="003B27B8">
        <w:rPr>
          <w:noProof/>
        </w:rPr>
        <w:t>. Yet o</w:t>
      </w:r>
      <w:r w:rsidR="003B27B8" w:rsidRPr="005729D9">
        <w:rPr>
          <w:noProof/>
        </w:rPr>
        <w:t>ther</w:t>
      </w:r>
      <w:r w:rsidR="007F57EE">
        <w:rPr>
          <w:noProof/>
        </w:rPr>
        <w:t>s</w:t>
      </w:r>
      <w:r w:rsidR="003B27B8" w:rsidRPr="005729D9">
        <w:rPr>
          <w:noProof/>
        </w:rPr>
        <w:t xml:space="preserve"> </w:t>
      </w:r>
      <w:r w:rsidR="003B27B8">
        <w:rPr>
          <w:noProof/>
        </w:rPr>
        <w:t xml:space="preserve">proposed to </w:t>
      </w:r>
      <w:r w:rsidR="003B27B8" w:rsidRPr="007073AD">
        <w:rPr>
          <w:noProof/>
        </w:rPr>
        <w:t>harmonise company closure across the EU</w:t>
      </w:r>
      <w:r w:rsidR="00157E2D" w:rsidRPr="007073AD">
        <w:rPr>
          <w:noProof/>
        </w:rPr>
        <w:t xml:space="preserve"> to</w:t>
      </w:r>
      <w:r w:rsidR="003B27B8" w:rsidRPr="007073AD">
        <w:rPr>
          <w:noProof/>
        </w:rPr>
        <w:t xml:space="preserve"> reduce the cost of failure, remove the need for notarization and long waiting periods, limit personal liability for honest founders and offer second-chance incentives</w:t>
      </w:r>
      <w:r w:rsidR="003B27B8" w:rsidRPr="005729D9">
        <w:rPr>
          <w:noProof/>
        </w:rPr>
        <w:t>.</w:t>
      </w:r>
      <w:r w:rsidR="003B27B8">
        <w:rPr>
          <w:noProof/>
        </w:rPr>
        <w:t xml:space="preserve"> </w:t>
      </w:r>
      <w:r w:rsidR="000648FF" w:rsidRPr="007073AD">
        <w:rPr>
          <w:noProof/>
        </w:rPr>
        <w:t xml:space="preserve"> </w:t>
      </w:r>
    </w:p>
    <w:p w14:paraId="3BF7CA9A" w14:textId="361ED654" w:rsidR="00510565" w:rsidRPr="009039FD" w:rsidRDefault="009039FD" w:rsidP="000A0753">
      <w:pPr>
        <w:spacing w:after="120"/>
        <w:rPr>
          <w:rFonts w:eastAsia="Calibri"/>
          <w:b/>
          <w:bCs/>
          <w:i/>
          <w:iCs/>
          <w:noProof/>
        </w:rPr>
      </w:pPr>
      <w:r w:rsidRPr="009039FD">
        <w:rPr>
          <w:rFonts w:eastAsia="Calibri"/>
          <w:b/>
          <w:bCs/>
          <w:i/>
          <w:iCs/>
          <w:noProof/>
        </w:rPr>
        <w:t>A</w:t>
      </w:r>
      <w:r w:rsidR="00510565" w:rsidRPr="009039FD">
        <w:rPr>
          <w:rFonts w:eastAsia="Calibri"/>
          <w:b/>
          <w:bCs/>
          <w:i/>
          <w:iCs/>
          <w:noProof/>
        </w:rPr>
        <w:t>ttracting talent</w:t>
      </w:r>
      <w:r w:rsidRPr="009039FD">
        <w:rPr>
          <w:rFonts w:eastAsia="Calibri"/>
          <w:b/>
          <w:bCs/>
          <w:i/>
          <w:iCs/>
          <w:noProof/>
        </w:rPr>
        <w:t xml:space="preserve"> (employee </w:t>
      </w:r>
      <w:r w:rsidR="00223079">
        <w:rPr>
          <w:rFonts w:eastAsia="Calibri"/>
          <w:b/>
          <w:bCs/>
          <w:i/>
          <w:iCs/>
          <w:noProof/>
        </w:rPr>
        <w:t>stock options</w:t>
      </w:r>
      <w:r w:rsidRPr="009039FD">
        <w:rPr>
          <w:rFonts w:eastAsia="Calibri"/>
          <w:b/>
          <w:bCs/>
          <w:i/>
          <w:iCs/>
          <w:noProof/>
        </w:rPr>
        <w:t>)</w:t>
      </w:r>
    </w:p>
    <w:p w14:paraId="6E16AAED" w14:textId="0FF27326" w:rsidR="00F176A3" w:rsidRDefault="00243F40" w:rsidP="00F176A3">
      <w:pPr>
        <w:rPr>
          <w:noProof/>
        </w:rPr>
      </w:pPr>
      <w:r>
        <w:rPr>
          <w:bCs/>
          <w:iCs/>
          <w:noProof/>
        </w:rPr>
        <w:t xml:space="preserve">As regards </w:t>
      </w:r>
      <w:r w:rsidRPr="007A6156">
        <w:rPr>
          <w:b/>
          <w:iCs/>
          <w:noProof/>
        </w:rPr>
        <w:t xml:space="preserve">types of companies which would most need rules to facilitate the use of employee stock options </w:t>
      </w:r>
      <w:r w:rsidRPr="00243F40">
        <w:rPr>
          <w:bCs/>
          <w:iCs/>
          <w:noProof/>
        </w:rPr>
        <w:t>or similar equity-based instruments</w:t>
      </w:r>
      <w:r>
        <w:rPr>
          <w:bCs/>
          <w:iCs/>
          <w:noProof/>
        </w:rPr>
        <w:t>,</w:t>
      </w:r>
      <w:r w:rsidRPr="00243F40">
        <w:rPr>
          <w:bCs/>
          <w:iCs/>
          <w:noProof/>
        </w:rPr>
        <w:t xml:space="preserve"> </w:t>
      </w:r>
      <w:r w:rsidR="00C43101">
        <w:rPr>
          <w:bCs/>
          <w:iCs/>
          <w:noProof/>
        </w:rPr>
        <w:t>a</w:t>
      </w:r>
      <w:r w:rsidR="0094204B">
        <w:rPr>
          <w:noProof/>
        </w:rPr>
        <w:t xml:space="preserve"> strong majority of respondents considered that both startup and scaleup companies would </w:t>
      </w:r>
      <w:r w:rsidR="0094204B" w:rsidRPr="00DA7DA4">
        <w:rPr>
          <w:noProof/>
        </w:rPr>
        <w:t xml:space="preserve">most need </w:t>
      </w:r>
      <w:r w:rsidR="001666FC">
        <w:rPr>
          <w:noProof/>
        </w:rPr>
        <w:t xml:space="preserve">such </w:t>
      </w:r>
      <w:r w:rsidR="0094204B" w:rsidRPr="00DA7DA4">
        <w:rPr>
          <w:noProof/>
        </w:rPr>
        <w:t xml:space="preserve">rules </w:t>
      </w:r>
      <w:r w:rsidR="0094204B">
        <w:rPr>
          <w:noProof/>
        </w:rPr>
        <w:t>(</w:t>
      </w:r>
      <w:r w:rsidR="00A026A8">
        <w:rPr>
          <w:noProof/>
        </w:rPr>
        <w:t xml:space="preserve">89% and 86%, </w:t>
      </w:r>
      <w:r w:rsidR="0094204B">
        <w:rPr>
          <w:noProof/>
        </w:rPr>
        <w:t xml:space="preserve">respectively), and 75% said so about innovative companies. Overall, a </w:t>
      </w:r>
      <w:r w:rsidR="0094204B">
        <w:rPr>
          <w:noProof/>
          <w:color w:val="000000" w:themeColor="text1"/>
        </w:rPr>
        <w:t xml:space="preserve">high </w:t>
      </w:r>
      <w:r w:rsidR="0094204B" w:rsidRPr="00E456FB">
        <w:rPr>
          <w:noProof/>
          <w:color w:val="000000" w:themeColor="text1"/>
        </w:rPr>
        <w:t xml:space="preserve">majority </w:t>
      </w:r>
      <w:r w:rsidR="0094204B">
        <w:rPr>
          <w:noProof/>
          <w:color w:val="000000" w:themeColor="text1"/>
        </w:rPr>
        <w:t xml:space="preserve">of respondents chose all </w:t>
      </w:r>
      <w:r w:rsidR="0094204B" w:rsidRPr="00E456FB">
        <w:rPr>
          <w:noProof/>
          <w:color w:val="000000" w:themeColor="text1"/>
        </w:rPr>
        <w:t>startups, scaleups and innovative companies</w:t>
      </w:r>
      <w:r w:rsidR="00F275C5">
        <w:rPr>
          <w:noProof/>
          <w:color w:val="000000" w:themeColor="text1"/>
        </w:rPr>
        <w:t>; t</w:t>
      </w:r>
      <w:r w:rsidR="0094204B">
        <w:rPr>
          <w:noProof/>
          <w:color w:val="000000" w:themeColor="text1"/>
        </w:rPr>
        <w:t xml:space="preserve">his was the case among business associations, companies and citizens (mainly founders and investors). A third of responding public authorities and more than half of responding trade unions did not have an opinion. </w:t>
      </w:r>
      <w:r w:rsidR="004C770E">
        <w:rPr>
          <w:noProof/>
          <w:color w:val="000000" w:themeColor="text1"/>
        </w:rPr>
        <w:t xml:space="preserve">Among those who provided additional comments, </w:t>
      </w:r>
      <w:r w:rsidR="00E90CD9">
        <w:rPr>
          <w:noProof/>
          <w:color w:val="000000" w:themeColor="text1"/>
        </w:rPr>
        <w:t xml:space="preserve">many business associations stressed </w:t>
      </w:r>
      <w:r w:rsidR="00E90CD9" w:rsidRPr="00E762D5">
        <w:rPr>
          <w:noProof/>
          <w:color w:val="000000" w:themeColor="text1"/>
        </w:rPr>
        <w:t xml:space="preserve">that </w:t>
      </w:r>
      <w:r w:rsidR="00E90CD9">
        <w:rPr>
          <w:noProof/>
          <w:color w:val="000000" w:themeColor="text1"/>
        </w:rPr>
        <w:t xml:space="preserve">employee stock options were in particular important for startup, scaleup and innovative </w:t>
      </w:r>
      <w:r w:rsidR="00E90CD9" w:rsidRPr="00E762D5">
        <w:rPr>
          <w:noProof/>
          <w:color w:val="000000" w:themeColor="text1"/>
        </w:rPr>
        <w:t>companies to attract and retain top talent</w:t>
      </w:r>
      <w:r w:rsidR="00E90CD9" w:rsidRPr="6A37A337">
        <w:rPr>
          <w:noProof/>
          <w:color w:val="000000" w:themeColor="text1"/>
        </w:rPr>
        <w:t>,</w:t>
      </w:r>
      <w:r w:rsidR="00E90CD9" w:rsidRPr="00E762D5">
        <w:rPr>
          <w:noProof/>
          <w:color w:val="000000" w:themeColor="text1"/>
        </w:rPr>
        <w:t xml:space="preserve"> as they often lack the cash resources to offer competitive salarie</w:t>
      </w:r>
      <w:r w:rsidR="00E90CD9">
        <w:rPr>
          <w:noProof/>
          <w:color w:val="000000" w:themeColor="text1"/>
        </w:rPr>
        <w:t>s</w:t>
      </w:r>
      <w:r w:rsidR="00C46368">
        <w:rPr>
          <w:noProof/>
          <w:color w:val="000000" w:themeColor="text1"/>
        </w:rPr>
        <w:t xml:space="preserve">, </w:t>
      </w:r>
      <w:r w:rsidR="008633DC">
        <w:rPr>
          <w:noProof/>
          <w:color w:val="000000" w:themeColor="text1"/>
        </w:rPr>
        <w:t xml:space="preserve">and a few </w:t>
      </w:r>
      <w:r w:rsidR="004C770E">
        <w:rPr>
          <w:noProof/>
          <w:color w:val="000000" w:themeColor="text1"/>
        </w:rPr>
        <w:t xml:space="preserve">welcomed </w:t>
      </w:r>
      <w:r w:rsidR="004C770E" w:rsidRPr="00B85B87">
        <w:rPr>
          <w:noProof/>
          <w:color w:val="000000" w:themeColor="text1"/>
        </w:rPr>
        <w:t>employee stock options</w:t>
      </w:r>
      <w:r w:rsidR="004C770E">
        <w:rPr>
          <w:noProof/>
          <w:color w:val="000000" w:themeColor="text1"/>
        </w:rPr>
        <w:t xml:space="preserve">’ incentives </w:t>
      </w:r>
      <w:r w:rsidR="004C770E" w:rsidRPr="00BE2BC9">
        <w:rPr>
          <w:noProof/>
          <w:color w:val="000000" w:themeColor="text1"/>
        </w:rPr>
        <w:t xml:space="preserve">for all types of companies </w:t>
      </w:r>
      <w:r w:rsidR="00270C6B" w:rsidRPr="00BE2BC9">
        <w:rPr>
          <w:noProof/>
          <w:color w:val="000000" w:themeColor="text1"/>
        </w:rPr>
        <w:t xml:space="preserve">at national level </w:t>
      </w:r>
      <w:r w:rsidR="004C770E">
        <w:rPr>
          <w:noProof/>
          <w:color w:val="000000" w:themeColor="text1"/>
        </w:rPr>
        <w:t xml:space="preserve">but stressed they were not calling </w:t>
      </w:r>
      <w:r w:rsidR="004C770E" w:rsidRPr="00BE2BC9">
        <w:rPr>
          <w:noProof/>
          <w:color w:val="000000" w:themeColor="text1"/>
        </w:rPr>
        <w:t xml:space="preserve">for rules to be included in </w:t>
      </w:r>
      <w:r w:rsidR="004C770E">
        <w:rPr>
          <w:noProof/>
          <w:color w:val="000000" w:themeColor="text1"/>
        </w:rPr>
        <w:t xml:space="preserve">the future </w:t>
      </w:r>
      <w:r w:rsidR="004C770E" w:rsidRPr="00BE2BC9">
        <w:rPr>
          <w:noProof/>
          <w:color w:val="000000" w:themeColor="text1"/>
        </w:rPr>
        <w:t>EU initiative</w:t>
      </w:r>
      <w:r w:rsidR="004C770E">
        <w:rPr>
          <w:noProof/>
          <w:color w:val="000000" w:themeColor="text1"/>
        </w:rPr>
        <w:t xml:space="preserve">. </w:t>
      </w:r>
      <w:r w:rsidR="00E725FC" w:rsidRPr="007073AD">
        <w:rPr>
          <w:noProof/>
        </w:rPr>
        <w:t xml:space="preserve">Many companies similarly said that </w:t>
      </w:r>
      <w:r w:rsidR="00615873">
        <w:rPr>
          <w:noProof/>
        </w:rPr>
        <w:t>employee stock options</w:t>
      </w:r>
      <w:r w:rsidR="00E725FC" w:rsidRPr="007073AD">
        <w:rPr>
          <w:noProof/>
        </w:rPr>
        <w:t xml:space="preserve"> were in particular important for startups, scaleups and innovative companies as those often lacked the liquidity to offer competitive salaries</w:t>
      </w:r>
      <w:r w:rsidR="005239DB" w:rsidRPr="007073AD">
        <w:rPr>
          <w:noProof/>
        </w:rPr>
        <w:t>, and s</w:t>
      </w:r>
      <w:r w:rsidR="00E725FC" w:rsidRPr="007073AD">
        <w:rPr>
          <w:noProof/>
        </w:rPr>
        <w:t xml:space="preserve">ome </w:t>
      </w:r>
      <w:r w:rsidR="005239DB" w:rsidRPr="007073AD">
        <w:rPr>
          <w:noProof/>
        </w:rPr>
        <w:t xml:space="preserve">- </w:t>
      </w:r>
      <w:r w:rsidR="00E725FC" w:rsidRPr="007073AD">
        <w:rPr>
          <w:noProof/>
        </w:rPr>
        <w:t xml:space="preserve">that </w:t>
      </w:r>
      <w:r w:rsidR="005239DB" w:rsidRPr="007073AD">
        <w:rPr>
          <w:noProof/>
        </w:rPr>
        <w:t>they</w:t>
      </w:r>
      <w:r w:rsidR="00E725FC" w:rsidRPr="007073AD">
        <w:rPr>
          <w:noProof/>
        </w:rPr>
        <w:t xml:space="preserve"> were important to motivate employees and to </w:t>
      </w:r>
      <w:r w:rsidR="00E725FC" w:rsidRPr="009D631C">
        <w:rPr>
          <w:noProof/>
          <w:color w:val="000000" w:themeColor="text1"/>
        </w:rPr>
        <w:t xml:space="preserve">align the interests of employees </w:t>
      </w:r>
      <w:r w:rsidR="00E725FC">
        <w:rPr>
          <w:noProof/>
          <w:color w:val="000000" w:themeColor="text1"/>
        </w:rPr>
        <w:t>and companies</w:t>
      </w:r>
      <w:r w:rsidR="00C070F8">
        <w:rPr>
          <w:noProof/>
          <w:color w:val="000000" w:themeColor="text1"/>
        </w:rPr>
        <w:t xml:space="preserve">, and a </w:t>
      </w:r>
      <w:r w:rsidR="00E725FC" w:rsidRPr="007073AD">
        <w:rPr>
          <w:noProof/>
        </w:rPr>
        <w:t xml:space="preserve">third </w:t>
      </w:r>
      <w:r w:rsidR="00C070F8" w:rsidRPr="007073AD">
        <w:rPr>
          <w:noProof/>
        </w:rPr>
        <w:t xml:space="preserve">- </w:t>
      </w:r>
      <w:r w:rsidR="00E725FC" w:rsidRPr="007073AD">
        <w:rPr>
          <w:noProof/>
        </w:rPr>
        <w:t xml:space="preserve">that </w:t>
      </w:r>
      <w:r w:rsidR="00615873">
        <w:rPr>
          <w:noProof/>
        </w:rPr>
        <w:t>employee stock options</w:t>
      </w:r>
      <w:r w:rsidR="00E725FC" w:rsidRPr="007073AD">
        <w:rPr>
          <w:noProof/>
        </w:rPr>
        <w:t xml:space="preserve"> were important to bridge salary gaps, compete for talent and “counter the pull of the US” and that without harmonised rules, employees risk losing the beneficial treatment from one Member State when moving to another one. </w:t>
      </w:r>
      <w:r w:rsidR="001E4B9E" w:rsidRPr="007073AD">
        <w:rPr>
          <w:noProof/>
        </w:rPr>
        <w:t>M</w:t>
      </w:r>
      <w:r w:rsidR="00E725FC" w:rsidRPr="007073AD">
        <w:rPr>
          <w:noProof/>
        </w:rPr>
        <w:t xml:space="preserve">any companies </w:t>
      </w:r>
      <w:r w:rsidR="001E4B9E" w:rsidRPr="007073AD">
        <w:rPr>
          <w:noProof/>
        </w:rPr>
        <w:t xml:space="preserve">also </w:t>
      </w:r>
      <w:r w:rsidR="00E725FC" w:rsidRPr="007073AD">
        <w:rPr>
          <w:noProof/>
        </w:rPr>
        <w:t xml:space="preserve">stressed that all companies should benefit from ESOs, e.g. that early-stage companies need ESOs to compete for talent but larger innovative companies or scaleups might need them to </w:t>
      </w:r>
      <w:r w:rsidR="00E725FC" w:rsidRPr="00616DC0">
        <w:rPr>
          <w:noProof/>
        </w:rPr>
        <w:t>retain talent</w:t>
      </w:r>
      <w:r w:rsidR="00E725FC" w:rsidRPr="007073AD">
        <w:rPr>
          <w:noProof/>
        </w:rPr>
        <w:t xml:space="preserve">. </w:t>
      </w:r>
      <w:r w:rsidR="00E725FC">
        <w:rPr>
          <w:noProof/>
          <w:color w:val="000000" w:themeColor="text1"/>
        </w:rPr>
        <w:t>Overall, many called for harmonised rules on employee stock options in the EU, and some specifically referred to tax elements.</w:t>
      </w:r>
      <w:r w:rsidR="00E725FC" w:rsidRPr="6A37A337">
        <w:rPr>
          <w:noProof/>
          <w:color w:val="000000" w:themeColor="text1"/>
        </w:rPr>
        <w:t xml:space="preserve"> </w:t>
      </w:r>
      <w:r w:rsidR="00E725FC" w:rsidRPr="6A37A337">
        <w:rPr>
          <w:noProof/>
        </w:rPr>
        <w:t xml:space="preserve">The legal professionals and tax adviser associations </w:t>
      </w:r>
      <w:r w:rsidR="00E725FC" w:rsidRPr="6A37A337">
        <w:rPr>
          <w:noProof/>
          <w:color w:val="000000" w:themeColor="text1"/>
        </w:rPr>
        <w:t>stressed</w:t>
      </w:r>
      <w:r w:rsidR="00E725FC" w:rsidRPr="6A37A337">
        <w:rPr>
          <w:noProof/>
        </w:rPr>
        <w:t xml:space="preserve"> that </w:t>
      </w:r>
      <w:r w:rsidR="00E725FC" w:rsidRPr="007073AD">
        <w:rPr>
          <w:noProof/>
        </w:rPr>
        <w:t>ESO</w:t>
      </w:r>
      <w:r w:rsidR="00E725FC" w:rsidRPr="6A37A337">
        <w:rPr>
          <w:noProof/>
        </w:rPr>
        <w:t xml:space="preserve">s should </w:t>
      </w:r>
      <w:r w:rsidR="00D14D47">
        <w:rPr>
          <w:noProof/>
        </w:rPr>
        <w:t xml:space="preserve">be available to all types of </w:t>
      </w:r>
      <w:r w:rsidR="00E725FC" w:rsidRPr="6A37A337">
        <w:rPr>
          <w:noProof/>
        </w:rPr>
        <w:t xml:space="preserve">companies. </w:t>
      </w:r>
      <w:r w:rsidR="00F176A3" w:rsidRPr="6A37A337">
        <w:rPr>
          <w:noProof/>
        </w:rPr>
        <w:t>A few trade unions stressed that financial participation schemes carried risks for employees and lead to tax loss for M</w:t>
      </w:r>
      <w:r w:rsidR="00E62FB1">
        <w:rPr>
          <w:noProof/>
        </w:rPr>
        <w:t xml:space="preserve">ember </w:t>
      </w:r>
      <w:r w:rsidR="00F176A3" w:rsidRPr="6A37A337">
        <w:rPr>
          <w:noProof/>
        </w:rPr>
        <w:t>S</w:t>
      </w:r>
      <w:r w:rsidR="00E62FB1">
        <w:rPr>
          <w:noProof/>
        </w:rPr>
        <w:t>tate</w:t>
      </w:r>
      <w:r w:rsidR="00F176A3" w:rsidRPr="6A37A337">
        <w:rPr>
          <w:noProof/>
        </w:rPr>
        <w:t>s, while shifting entrepreneurial risks to employees</w:t>
      </w:r>
      <w:r w:rsidR="00117954">
        <w:rPr>
          <w:noProof/>
        </w:rPr>
        <w:t>; and it was</w:t>
      </w:r>
      <w:r w:rsidR="00117954" w:rsidRPr="00117954">
        <w:rPr>
          <w:noProof/>
        </w:rPr>
        <w:t xml:space="preserve"> </w:t>
      </w:r>
      <w:r w:rsidR="00117954" w:rsidRPr="6A37A337">
        <w:rPr>
          <w:noProof/>
        </w:rPr>
        <w:t>noted that ESOs should never replace wages or regular remuneration, nor be used to supplement salaries in a way that undermines fair compensation practices.</w:t>
      </w:r>
    </w:p>
    <w:p w14:paraId="0096ECE2" w14:textId="001B3B96" w:rsidR="00117954" w:rsidRDefault="00C05361" w:rsidP="00117954">
      <w:pPr>
        <w:rPr>
          <w:noProof/>
        </w:rPr>
      </w:pPr>
      <w:r>
        <w:rPr>
          <w:noProof/>
        </w:rPr>
        <w:t xml:space="preserve">When asked about the </w:t>
      </w:r>
      <w:r w:rsidRPr="00C05361">
        <w:rPr>
          <w:b/>
          <w:bCs/>
          <w:noProof/>
        </w:rPr>
        <w:t>main barrie</w:t>
      </w:r>
      <w:r>
        <w:rPr>
          <w:b/>
          <w:bCs/>
          <w:noProof/>
        </w:rPr>
        <w:t>r</w:t>
      </w:r>
      <w:r w:rsidRPr="00C05361">
        <w:rPr>
          <w:b/>
          <w:bCs/>
          <w:noProof/>
        </w:rPr>
        <w:t xml:space="preserve">s to using </w:t>
      </w:r>
      <w:r w:rsidR="00AA39BF">
        <w:rPr>
          <w:b/>
          <w:bCs/>
          <w:noProof/>
        </w:rPr>
        <w:t>employee stock options</w:t>
      </w:r>
      <w:r>
        <w:rPr>
          <w:noProof/>
        </w:rPr>
        <w:t xml:space="preserve">, </w:t>
      </w:r>
      <w:r w:rsidR="00C6266D">
        <w:rPr>
          <w:noProof/>
        </w:rPr>
        <w:t>t</w:t>
      </w:r>
      <w:r w:rsidR="00C6266D" w:rsidRPr="6A37A337">
        <w:rPr>
          <w:noProof/>
        </w:rPr>
        <w:t xml:space="preserve">he responding business associations </w:t>
      </w:r>
      <w:r w:rsidR="00C6266D">
        <w:rPr>
          <w:noProof/>
        </w:rPr>
        <w:t xml:space="preserve">stressed </w:t>
      </w:r>
      <w:r w:rsidR="00C6266D" w:rsidRPr="6A37A337">
        <w:rPr>
          <w:noProof/>
        </w:rPr>
        <w:t>that the fragmentation of tax regimes was the main barrier</w:t>
      </w:r>
      <w:r w:rsidR="00406F30">
        <w:rPr>
          <w:noProof/>
        </w:rPr>
        <w:t xml:space="preserve">, and in </w:t>
      </w:r>
      <w:r w:rsidR="00C6266D" w:rsidRPr="6A37A337">
        <w:rPr>
          <w:noProof/>
        </w:rPr>
        <w:t xml:space="preserve">particular, </w:t>
      </w:r>
      <w:r w:rsidR="00406F30">
        <w:rPr>
          <w:noProof/>
        </w:rPr>
        <w:t xml:space="preserve">that </w:t>
      </w:r>
      <w:r w:rsidR="00C6266D" w:rsidRPr="6A37A337">
        <w:rPr>
          <w:noProof/>
        </w:rPr>
        <w:t xml:space="preserve">depending on the Member State, employees may be taxed on unrealised gains, there are valuation mismatches between startups and tax authorities, and employee risks double taxation across jurisdictions in case of mobility or where the place of employment is different from the residence of the employee, making </w:t>
      </w:r>
      <w:r w:rsidR="00AA39BF">
        <w:rPr>
          <w:noProof/>
        </w:rPr>
        <w:t>employee stock options</w:t>
      </w:r>
      <w:r w:rsidR="00C6266D" w:rsidRPr="6A37A337">
        <w:rPr>
          <w:noProof/>
        </w:rPr>
        <w:t xml:space="preserve"> unattractive. </w:t>
      </w:r>
      <w:r w:rsidR="006358D7" w:rsidRPr="6A37A337">
        <w:rPr>
          <w:noProof/>
        </w:rPr>
        <w:t>It was also noted that startups struggled with notarised paperwork requirements.</w:t>
      </w:r>
      <w:r w:rsidR="00AB0EA6">
        <w:rPr>
          <w:noProof/>
        </w:rPr>
        <w:t xml:space="preserve"> A</w:t>
      </w:r>
      <w:r w:rsidR="006358D7" w:rsidRPr="6A37A337">
        <w:rPr>
          <w:noProof/>
        </w:rPr>
        <w:t xml:space="preserve"> </w:t>
      </w:r>
      <w:r w:rsidR="00277120">
        <w:rPr>
          <w:noProof/>
        </w:rPr>
        <w:t xml:space="preserve">big </w:t>
      </w:r>
      <w:r w:rsidR="00230EBE" w:rsidRPr="6A37A337">
        <w:rPr>
          <w:noProof/>
        </w:rPr>
        <w:t xml:space="preserve">majority of companies and citizens (mainly founders and investors) also </w:t>
      </w:r>
      <w:r w:rsidR="00277120">
        <w:rPr>
          <w:noProof/>
        </w:rPr>
        <w:t xml:space="preserve">saw </w:t>
      </w:r>
      <w:r w:rsidR="00230EBE" w:rsidRPr="6A37A337">
        <w:rPr>
          <w:noProof/>
        </w:rPr>
        <w:t xml:space="preserve">the lack of harmonized tax treatment and legal frameworks across EU countries, requiring individual legal advice </w:t>
      </w:r>
      <w:r w:rsidR="005C5CC0">
        <w:rPr>
          <w:noProof/>
        </w:rPr>
        <w:t>per</w:t>
      </w:r>
      <w:r w:rsidR="00230EBE" w:rsidRPr="6A37A337">
        <w:rPr>
          <w:noProof/>
        </w:rPr>
        <w:t xml:space="preserve"> Member State, </w:t>
      </w:r>
      <w:r w:rsidR="00F569E8">
        <w:rPr>
          <w:noProof/>
        </w:rPr>
        <w:t xml:space="preserve">as </w:t>
      </w:r>
      <w:r w:rsidR="00F569E8" w:rsidRPr="6A37A337">
        <w:rPr>
          <w:noProof/>
        </w:rPr>
        <w:t>main barriers</w:t>
      </w:r>
      <w:r w:rsidR="00F569E8">
        <w:rPr>
          <w:noProof/>
        </w:rPr>
        <w:t>,</w:t>
      </w:r>
      <w:r w:rsidR="00F569E8" w:rsidRPr="6A37A337">
        <w:rPr>
          <w:noProof/>
        </w:rPr>
        <w:t xml:space="preserve"> </w:t>
      </w:r>
      <w:r w:rsidR="00230EBE" w:rsidRPr="6A37A337">
        <w:rPr>
          <w:noProof/>
        </w:rPr>
        <w:t xml:space="preserve">making it complex to offer </w:t>
      </w:r>
      <w:r w:rsidR="00AA39BF">
        <w:rPr>
          <w:noProof/>
        </w:rPr>
        <w:t>employee stock options</w:t>
      </w:r>
      <w:r w:rsidR="00230EBE" w:rsidRPr="6A37A337">
        <w:rPr>
          <w:noProof/>
        </w:rPr>
        <w:t xml:space="preserve"> to cross-border talent. </w:t>
      </w:r>
      <w:r w:rsidR="00230EBE" w:rsidRPr="00AB0EA6">
        <w:rPr>
          <w:noProof/>
        </w:rPr>
        <w:t xml:space="preserve">In particular, it was explained that taxation often occurs at the grant or vesting stage, rather than when gain is realised, creating upfront costs for employees with no actual gains, </w:t>
      </w:r>
      <w:r w:rsidR="00DD4519">
        <w:rPr>
          <w:noProof/>
        </w:rPr>
        <w:t xml:space="preserve">and </w:t>
      </w:r>
      <w:r w:rsidR="00230EBE" w:rsidRPr="00AB0EA6">
        <w:rPr>
          <w:noProof/>
        </w:rPr>
        <w:t>reduc</w:t>
      </w:r>
      <w:r w:rsidR="00DD4519">
        <w:rPr>
          <w:noProof/>
        </w:rPr>
        <w:t>ing</w:t>
      </w:r>
      <w:r w:rsidR="00230EBE" w:rsidRPr="00AB0EA6">
        <w:rPr>
          <w:noProof/>
        </w:rPr>
        <w:t xml:space="preserve"> the attractiveness and usability of equity-based compensation. In addition, </w:t>
      </w:r>
      <w:r w:rsidR="00230EBE" w:rsidRPr="007073AD">
        <w:rPr>
          <w:noProof/>
        </w:rPr>
        <w:t xml:space="preserve">the classification of income from stock options can differ, with some jurisdictions treating it as ordinary income (subject to higher tax rates) and others as capital gains (with typically lower tax rates), which complicates the net benefit calculation for employees and can deter companies from offering </w:t>
      </w:r>
      <w:r w:rsidR="0065569B">
        <w:rPr>
          <w:noProof/>
        </w:rPr>
        <w:t>employee stock options</w:t>
      </w:r>
      <w:r w:rsidR="00230EBE" w:rsidRPr="007073AD">
        <w:rPr>
          <w:noProof/>
        </w:rPr>
        <w:t>.</w:t>
      </w:r>
      <w:r w:rsidR="00230EBE" w:rsidRPr="00AB0EA6">
        <w:rPr>
          <w:noProof/>
        </w:rPr>
        <w:t xml:space="preserve"> Approximately half of the companies and founders reported that the fragmented legal frameworks, </w:t>
      </w:r>
      <w:r w:rsidR="005E1FEB" w:rsidRPr="00AB0EA6">
        <w:rPr>
          <w:noProof/>
        </w:rPr>
        <w:t>notari</w:t>
      </w:r>
      <w:r w:rsidR="005E1FEB">
        <w:rPr>
          <w:noProof/>
        </w:rPr>
        <w:t>s</w:t>
      </w:r>
      <w:r w:rsidR="005E1FEB" w:rsidRPr="00AB0EA6">
        <w:rPr>
          <w:noProof/>
        </w:rPr>
        <w:t>ation</w:t>
      </w:r>
      <w:r w:rsidR="00230EBE" w:rsidRPr="00AB0EA6">
        <w:rPr>
          <w:noProof/>
        </w:rPr>
        <w:t xml:space="preserve"> and translation </w:t>
      </w:r>
      <w:r w:rsidR="00230EBE" w:rsidRPr="00512465">
        <w:rPr>
          <w:noProof/>
        </w:rPr>
        <w:t>requirements and administrative burdens across EU Member States made it difficult, costly and burdensome for companies, especially startups, to implement stock option plans.</w:t>
      </w:r>
      <w:r w:rsidR="00512465" w:rsidRPr="00512465">
        <w:rPr>
          <w:noProof/>
        </w:rPr>
        <w:t xml:space="preserve"> </w:t>
      </w:r>
      <w:r w:rsidR="00512465">
        <w:rPr>
          <w:noProof/>
        </w:rPr>
        <w:t>I</w:t>
      </w:r>
      <w:r w:rsidR="00512465" w:rsidRPr="6A37A337">
        <w:rPr>
          <w:noProof/>
        </w:rPr>
        <w:t xml:space="preserve">t was also </w:t>
      </w:r>
      <w:r w:rsidR="00512465">
        <w:rPr>
          <w:noProof/>
        </w:rPr>
        <w:t xml:space="preserve">mentioned </w:t>
      </w:r>
      <w:r w:rsidR="00512465" w:rsidRPr="6A37A337">
        <w:rPr>
          <w:noProof/>
        </w:rPr>
        <w:t>that securities rules often restricted offering options to residents of another Member State</w:t>
      </w:r>
      <w:r w:rsidR="00512465">
        <w:rPr>
          <w:noProof/>
        </w:rPr>
        <w:t xml:space="preserve">; </w:t>
      </w:r>
      <w:r w:rsidR="00512465" w:rsidRPr="6A37A337">
        <w:rPr>
          <w:noProof/>
        </w:rPr>
        <w:t xml:space="preserve">that valuation mismatches and inconsistent methods across Member States exposed employees to unfair or unpredictable charges as </w:t>
      </w:r>
      <w:r w:rsidR="00512465" w:rsidRPr="007073AD">
        <w:rPr>
          <w:noProof/>
        </w:rPr>
        <w:t xml:space="preserve">discrepancies between market value assessments by companies and tax authorities can lead to disputes and financial unpredictability. </w:t>
      </w:r>
      <w:r w:rsidR="00512465" w:rsidRPr="6A37A337">
        <w:rPr>
          <w:noProof/>
        </w:rPr>
        <w:t xml:space="preserve">Few founders mentioned that the companies may need to establish different </w:t>
      </w:r>
      <w:r w:rsidR="0065569B">
        <w:rPr>
          <w:noProof/>
        </w:rPr>
        <w:t xml:space="preserve">employee stock </w:t>
      </w:r>
      <w:r w:rsidR="00A36504">
        <w:rPr>
          <w:noProof/>
        </w:rPr>
        <w:t>option schemes (ESOPs)</w:t>
      </w:r>
      <w:r w:rsidR="00512465" w:rsidRPr="6A37A337">
        <w:rPr>
          <w:noProof/>
        </w:rPr>
        <w:t xml:space="preserve"> in each jurisdiction to comply with national rules. </w:t>
      </w:r>
      <w:r w:rsidR="006618FA" w:rsidRPr="6A37A337">
        <w:rPr>
          <w:noProof/>
        </w:rPr>
        <w:t>Two public authorities identified the fragmentation of legal and tax frameworks across EU as barriers</w:t>
      </w:r>
      <w:r w:rsidR="006618FA">
        <w:rPr>
          <w:noProof/>
        </w:rPr>
        <w:t>;</w:t>
      </w:r>
      <w:r w:rsidR="006618FA" w:rsidRPr="6A37A337">
        <w:rPr>
          <w:noProof/>
        </w:rPr>
        <w:t xml:space="preserve"> </w:t>
      </w:r>
      <w:r w:rsidR="006618FA">
        <w:rPr>
          <w:noProof/>
        </w:rPr>
        <w:t>a</w:t>
      </w:r>
      <w:r w:rsidR="006618FA" w:rsidRPr="6A37A337">
        <w:rPr>
          <w:noProof/>
        </w:rPr>
        <w:t xml:space="preserve">nother barrier was the lack of standardised documentation and processes, making </w:t>
      </w:r>
      <w:r w:rsidR="00A36504">
        <w:rPr>
          <w:noProof/>
        </w:rPr>
        <w:t>employee stock option</w:t>
      </w:r>
      <w:r w:rsidR="006618FA" w:rsidRPr="6A37A337">
        <w:rPr>
          <w:noProof/>
        </w:rPr>
        <w:t xml:space="preserve"> implementation costly and legally risky for early-stage companies. </w:t>
      </w:r>
      <w:r w:rsidR="007145B9">
        <w:rPr>
          <w:noProof/>
        </w:rPr>
        <w:t>One</w:t>
      </w:r>
      <w:r w:rsidR="007145B9" w:rsidRPr="6A37A337">
        <w:rPr>
          <w:noProof/>
        </w:rPr>
        <w:t xml:space="preserve"> </w:t>
      </w:r>
      <w:r w:rsidR="007145B9">
        <w:rPr>
          <w:noProof/>
        </w:rPr>
        <w:t>n</w:t>
      </w:r>
      <w:r w:rsidR="007145B9" w:rsidRPr="6A37A337">
        <w:rPr>
          <w:noProof/>
        </w:rPr>
        <w:t>otaries</w:t>
      </w:r>
      <w:r w:rsidR="007145B9">
        <w:rPr>
          <w:noProof/>
        </w:rPr>
        <w:t>’</w:t>
      </w:r>
      <w:r w:rsidR="007145B9" w:rsidRPr="6A37A337">
        <w:rPr>
          <w:noProof/>
        </w:rPr>
        <w:t xml:space="preserve"> </w:t>
      </w:r>
      <w:r w:rsidR="007145B9">
        <w:rPr>
          <w:noProof/>
        </w:rPr>
        <w:t>a</w:t>
      </w:r>
      <w:r w:rsidR="007145B9" w:rsidRPr="6A37A337">
        <w:rPr>
          <w:noProof/>
        </w:rPr>
        <w:t xml:space="preserve">ssociation confirmed that the limited use of </w:t>
      </w:r>
      <w:r w:rsidR="00A36504">
        <w:rPr>
          <w:noProof/>
        </w:rPr>
        <w:t>employee stock options</w:t>
      </w:r>
      <w:r w:rsidR="007145B9" w:rsidRPr="6A37A337">
        <w:rPr>
          <w:noProof/>
        </w:rPr>
        <w:t xml:space="preserve"> was primarily </w:t>
      </w:r>
      <w:r w:rsidR="007145B9">
        <w:rPr>
          <w:noProof/>
        </w:rPr>
        <w:t xml:space="preserve">due </w:t>
      </w:r>
      <w:r w:rsidR="007145B9" w:rsidRPr="6A37A337">
        <w:rPr>
          <w:noProof/>
        </w:rPr>
        <w:t xml:space="preserve">to </w:t>
      </w:r>
      <w:r w:rsidR="007145B9">
        <w:rPr>
          <w:noProof/>
        </w:rPr>
        <w:t xml:space="preserve">the </w:t>
      </w:r>
      <w:r w:rsidR="007145B9" w:rsidRPr="6A37A337">
        <w:rPr>
          <w:noProof/>
        </w:rPr>
        <w:t xml:space="preserve">lack of attractiveness from a tax perspective. </w:t>
      </w:r>
    </w:p>
    <w:p w14:paraId="5264A96E" w14:textId="00816F49" w:rsidR="00EA6ECC" w:rsidRPr="009039FD" w:rsidRDefault="009039FD" w:rsidP="00117954">
      <w:pPr>
        <w:spacing w:after="120"/>
        <w:rPr>
          <w:rFonts w:eastAsia="Calibri"/>
          <w:b/>
          <w:bCs/>
          <w:i/>
          <w:iCs/>
          <w:noProof/>
        </w:rPr>
      </w:pPr>
      <w:r w:rsidRPr="009039FD">
        <w:rPr>
          <w:rFonts w:eastAsia="Calibri"/>
          <w:b/>
          <w:bCs/>
          <w:i/>
          <w:iCs/>
          <w:noProof/>
        </w:rPr>
        <w:t>G</w:t>
      </w:r>
      <w:r w:rsidR="00EA6ECC" w:rsidRPr="009039FD">
        <w:rPr>
          <w:rFonts w:eastAsia="Calibri"/>
          <w:b/>
          <w:bCs/>
          <w:i/>
          <w:iCs/>
          <w:noProof/>
        </w:rPr>
        <w:t xml:space="preserve">overnance and capital regime for founders and investors   </w:t>
      </w:r>
    </w:p>
    <w:p w14:paraId="037DEC77" w14:textId="718595FF" w:rsidR="00887655" w:rsidRPr="007073AD" w:rsidRDefault="00463187" w:rsidP="000A0753">
      <w:pPr>
        <w:spacing w:after="120"/>
        <w:rPr>
          <w:noProof/>
        </w:rPr>
      </w:pPr>
      <w:r w:rsidRPr="007073AD">
        <w:rPr>
          <w:noProof/>
        </w:rPr>
        <w:t>The legal advice needed due to complexity related to different company legal forms and/or the procedure to invest in companies in other Member States was assessed as a barrier to a large or very large extent by 86% of respondents and the complex and non-flexible rules e.g. governing capital increases and shareholder rights - by 84% of respondents. In addition, lack of available information about company legal frameworks and/or the procedure to invest in companies in other Member States as well as insufficient availability of digital tools and procedures to invest in companies were also considered high barriers by over 70% of respondents.</w:t>
      </w:r>
    </w:p>
    <w:p w14:paraId="662A2F39" w14:textId="0624AA85" w:rsidR="004D3ABD" w:rsidRPr="007073AD" w:rsidRDefault="003A6FE3" w:rsidP="004D3ABD">
      <w:pPr>
        <w:spacing w:after="120"/>
        <w:rPr>
          <w:noProof/>
        </w:rPr>
      </w:pPr>
      <w:r w:rsidRPr="007073AD">
        <w:rPr>
          <w:noProof/>
        </w:rPr>
        <w:t xml:space="preserve">As regards </w:t>
      </w:r>
      <w:r w:rsidRPr="007073AD">
        <w:rPr>
          <w:b/>
          <w:noProof/>
        </w:rPr>
        <w:t xml:space="preserve">capital regime and </w:t>
      </w:r>
      <w:r w:rsidR="004D3ABD" w:rsidRPr="007073AD">
        <w:rPr>
          <w:b/>
          <w:noProof/>
        </w:rPr>
        <w:t>the minimum share capital requirements</w:t>
      </w:r>
      <w:r w:rsidR="004D3ABD" w:rsidRPr="007073AD">
        <w:rPr>
          <w:noProof/>
        </w:rPr>
        <w:t xml:space="preserve"> for 28</w:t>
      </w:r>
      <w:r w:rsidR="004D3ABD" w:rsidRPr="007073AD">
        <w:rPr>
          <w:noProof/>
          <w:vertAlign w:val="superscript"/>
        </w:rPr>
        <w:t>th</w:t>
      </w:r>
      <w:r w:rsidR="004D3ABD" w:rsidRPr="007073AD">
        <w:rPr>
          <w:noProof/>
        </w:rPr>
        <w:t xml:space="preserve"> regime companies, 36% of respondents supported having no minimum capital</w:t>
      </w:r>
      <w:r w:rsidR="007F20F9" w:rsidRPr="007073AD">
        <w:rPr>
          <w:noProof/>
        </w:rPr>
        <w:t>;</w:t>
      </w:r>
      <w:r w:rsidR="004D3ABD" w:rsidRPr="007073AD">
        <w:rPr>
          <w:noProof/>
        </w:rPr>
        <w:t xml:space="preserve"> 29% </w:t>
      </w:r>
      <w:r w:rsidRPr="007073AD">
        <w:rPr>
          <w:noProof/>
        </w:rPr>
        <w:t xml:space="preserve">- </w:t>
      </w:r>
      <w:r w:rsidR="004D3ABD" w:rsidRPr="007073AD">
        <w:rPr>
          <w:noProof/>
        </w:rPr>
        <w:t>favoured a symbolic amount</w:t>
      </w:r>
      <w:r w:rsidR="004D3ABD">
        <w:rPr>
          <w:noProof/>
        </w:rPr>
        <w:t xml:space="preserve"> </w:t>
      </w:r>
      <w:r w:rsidR="004D3ABD" w:rsidRPr="007073AD">
        <w:rPr>
          <w:noProof/>
        </w:rPr>
        <w:t xml:space="preserve">(e.g. </w:t>
      </w:r>
      <w:r w:rsidR="00CE2FF4" w:rsidRPr="007073AD">
        <w:rPr>
          <w:noProof/>
        </w:rPr>
        <w:t>EUR </w:t>
      </w:r>
      <w:r w:rsidR="004D3ABD" w:rsidRPr="007073AD">
        <w:rPr>
          <w:noProof/>
        </w:rPr>
        <w:t>1)</w:t>
      </w:r>
      <w:r w:rsidR="007F20F9" w:rsidRPr="007073AD">
        <w:rPr>
          <w:noProof/>
        </w:rPr>
        <w:t>;</w:t>
      </w:r>
      <w:r w:rsidR="004D3ABD" w:rsidRPr="007073AD">
        <w:rPr>
          <w:noProof/>
        </w:rPr>
        <w:t xml:space="preserve"> 16% </w:t>
      </w:r>
      <w:r w:rsidRPr="007073AD">
        <w:rPr>
          <w:noProof/>
        </w:rPr>
        <w:t xml:space="preserve">- </w:t>
      </w:r>
      <w:r w:rsidR="004D3ABD" w:rsidRPr="007073AD">
        <w:rPr>
          <w:noProof/>
        </w:rPr>
        <w:t xml:space="preserve">preferred to have </w:t>
      </w:r>
      <w:r w:rsidR="004D3ABD" w:rsidRPr="07E358E1">
        <w:rPr>
          <w:rFonts w:eastAsia="Times New Roman"/>
          <w:noProof/>
        </w:rPr>
        <w:t>minimum share capital</w:t>
      </w:r>
      <w:r w:rsidR="004D3ABD" w:rsidRPr="07E358E1">
        <w:rPr>
          <w:rFonts w:eastAsia="Times New Roman"/>
          <w:b/>
          <w:bCs/>
          <w:noProof/>
        </w:rPr>
        <w:t xml:space="preserve"> </w:t>
      </w:r>
      <w:r w:rsidR="004D3ABD" w:rsidRPr="007073AD">
        <w:rPr>
          <w:noProof/>
        </w:rPr>
        <w:t xml:space="preserve">between </w:t>
      </w:r>
      <w:r w:rsidR="172ED616" w:rsidRPr="007073AD">
        <w:rPr>
          <w:noProof/>
        </w:rPr>
        <w:t>EUR</w:t>
      </w:r>
      <w:r w:rsidR="00CE2FF4" w:rsidRPr="007073AD">
        <w:rPr>
          <w:noProof/>
        </w:rPr>
        <w:t> </w:t>
      </w:r>
      <w:r w:rsidR="004D3ABD" w:rsidRPr="007073AD">
        <w:rPr>
          <w:noProof/>
        </w:rPr>
        <w:t>1</w:t>
      </w:r>
      <w:r w:rsidR="74ACD7CD" w:rsidRPr="007073AD">
        <w:rPr>
          <w:rFonts w:ascii="Aptos" w:eastAsia="Aptos" w:hAnsi="Aptos" w:cs="Aptos"/>
          <w:noProof/>
        </w:rPr>
        <w:t xml:space="preserve"> </w:t>
      </w:r>
      <w:r w:rsidR="004D3ABD" w:rsidRPr="007073AD">
        <w:rPr>
          <w:noProof/>
        </w:rPr>
        <w:t xml:space="preserve">000 and </w:t>
      </w:r>
      <w:r w:rsidR="5DA73484" w:rsidRPr="007073AD">
        <w:rPr>
          <w:noProof/>
        </w:rPr>
        <w:t>EUR</w:t>
      </w:r>
      <w:r w:rsidR="00CE2FF4" w:rsidRPr="007073AD">
        <w:rPr>
          <w:noProof/>
        </w:rPr>
        <w:t> </w:t>
      </w:r>
      <w:r w:rsidR="004D3ABD" w:rsidRPr="007073AD">
        <w:rPr>
          <w:noProof/>
        </w:rPr>
        <w:t>5</w:t>
      </w:r>
      <w:r w:rsidR="558D247E" w:rsidRPr="007073AD">
        <w:rPr>
          <w:rFonts w:ascii="Aptos" w:eastAsia="Aptos" w:hAnsi="Aptos" w:cs="Aptos"/>
          <w:noProof/>
        </w:rPr>
        <w:t xml:space="preserve"> </w:t>
      </w:r>
      <w:r w:rsidR="004D3ABD" w:rsidRPr="007073AD">
        <w:rPr>
          <w:noProof/>
        </w:rPr>
        <w:t>000</w:t>
      </w:r>
      <w:r w:rsidR="007F20F9" w:rsidRPr="007073AD">
        <w:rPr>
          <w:noProof/>
        </w:rPr>
        <w:t>;</w:t>
      </w:r>
      <w:r w:rsidR="004D3ABD" w:rsidRPr="007073AD">
        <w:rPr>
          <w:noProof/>
        </w:rPr>
        <w:t xml:space="preserve"> 8% between </w:t>
      </w:r>
      <w:r w:rsidR="5DA73484" w:rsidRPr="007073AD">
        <w:rPr>
          <w:noProof/>
        </w:rPr>
        <w:t>EUR</w:t>
      </w:r>
      <w:r w:rsidR="00CE2FF4" w:rsidRPr="007073AD">
        <w:rPr>
          <w:noProof/>
        </w:rPr>
        <w:t> </w:t>
      </w:r>
      <w:r w:rsidR="004D3ABD" w:rsidRPr="007073AD">
        <w:rPr>
          <w:noProof/>
        </w:rPr>
        <w:t>5</w:t>
      </w:r>
      <w:r w:rsidR="2D7B2314" w:rsidRPr="007073AD">
        <w:rPr>
          <w:rFonts w:ascii="Aptos" w:eastAsia="Aptos" w:hAnsi="Aptos" w:cs="Aptos"/>
          <w:noProof/>
        </w:rPr>
        <w:t xml:space="preserve"> </w:t>
      </w:r>
      <w:r w:rsidR="004D3ABD" w:rsidRPr="007073AD">
        <w:rPr>
          <w:noProof/>
        </w:rPr>
        <w:t xml:space="preserve">000 and </w:t>
      </w:r>
      <w:r w:rsidR="5E13012E" w:rsidRPr="007073AD">
        <w:rPr>
          <w:noProof/>
        </w:rPr>
        <w:t>EUR</w:t>
      </w:r>
      <w:r w:rsidR="00CE2FF4" w:rsidRPr="007073AD">
        <w:rPr>
          <w:noProof/>
        </w:rPr>
        <w:t> </w:t>
      </w:r>
      <w:r w:rsidR="004D3ABD" w:rsidRPr="007073AD">
        <w:rPr>
          <w:noProof/>
        </w:rPr>
        <w:t>10</w:t>
      </w:r>
      <w:r w:rsidR="478FC330" w:rsidRPr="007073AD">
        <w:rPr>
          <w:rFonts w:ascii="Aptos" w:eastAsia="Aptos" w:hAnsi="Aptos" w:cs="Aptos"/>
          <w:noProof/>
        </w:rPr>
        <w:t xml:space="preserve"> </w:t>
      </w:r>
      <w:r w:rsidR="004D3ABD" w:rsidRPr="007073AD">
        <w:rPr>
          <w:noProof/>
        </w:rPr>
        <w:t>000</w:t>
      </w:r>
      <w:r w:rsidR="007F20F9" w:rsidRPr="007073AD">
        <w:rPr>
          <w:noProof/>
        </w:rPr>
        <w:t>;</w:t>
      </w:r>
      <w:r w:rsidR="004D3ABD" w:rsidRPr="007073AD">
        <w:rPr>
          <w:noProof/>
        </w:rPr>
        <w:t xml:space="preserve"> 6% </w:t>
      </w:r>
      <w:r w:rsidR="007F20F9" w:rsidRPr="007073AD">
        <w:rPr>
          <w:noProof/>
        </w:rPr>
        <w:t xml:space="preserve">- </w:t>
      </w:r>
      <w:r w:rsidR="004D3ABD" w:rsidRPr="007073AD">
        <w:rPr>
          <w:noProof/>
        </w:rPr>
        <w:t xml:space="preserve">between </w:t>
      </w:r>
      <w:r w:rsidR="5E13012E" w:rsidRPr="007073AD">
        <w:rPr>
          <w:noProof/>
        </w:rPr>
        <w:t>EUR</w:t>
      </w:r>
      <w:r w:rsidR="00CE2FF4" w:rsidRPr="007073AD">
        <w:rPr>
          <w:noProof/>
        </w:rPr>
        <w:t> </w:t>
      </w:r>
      <w:r w:rsidR="004D3ABD" w:rsidRPr="007073AD">
        <w:rPr>
          <w:noProof/>
        </w:rPr>
        <w:t>10</w:t>
      </w:r>
      <w:r w:rsidR="425AC9BF" w:rsidRPr="007073AD">
        <w:rPr>
          <w:rFonts w:ascii="Aptos" w:eastAsia="Aptos" w:hAnsi="Aptos" w:cs="Aptos"/>
          <w:noProof/>
        </w:rPr>
        <w:t xml:space="preserve"> </w:t>
      </w:r>
      <w:r w:rsidR="004D3ABD" w:rsidRPr="007073AD">
        <w:rPr>
          <w:noProof/>
        </w:rPr>
        <w:t xml:space="preserve">000 and </w:t>
      </w:r>
      <w:r w:rsidR="49F84368" w:rsidRPr="007073AD">
        <w:rPr>
          <w:noProof/>
        </w:rPr>
        <w:t>EUR</w:t>
      </w:r>
      <w:r w:rsidR="00CE2FF4" w:rsidRPr="007073AD">
        <w:rPr>
          <w:noProof/>
        </w:rPr>
        <w:t> </w:t>
      </w:r>
      <w:r w:rsidR="004D3ABD" w:rsidRPr="007073AD">
        <w:rPr>
          <w:noProof/>
        </w:rPr>
        <w:t>25</w:t>
      </w:r>
      <w:r w:rsidR="304D1A3C" w:rsidRPr="007073AD">
        <w:rPr>
          <w:rFonts w:ascii="Aptos" w:eastAsia="Aptos" w:hAnsi="Aptos" w:cs="Aptos"/>
          <w:noProof/>
        </w:rPr>
        <w:t xml:space="preserve"> </w:t>
      </w:r>
      <w:r w:rsidR="004D3ABD" w:rsidRPr="007073AD">
        <w:rPr>
          <w:noProof/>
        </w:rPr>
        <w:t>000</w:t>
      </w:r>
      <w:r w:rsidR="007F20F9" w:rsidRPr="007073AD">
        <w:rPr>
          <w:noProof/>
        </w:rPr>
        <w:t>;</w:t>
      </w:r>
      <w:r w:rsidR="004D3ABD" w:rsidRPr="007073AD">
        <w:rPr>
          <w:noProof/>
        </w:rPr>
        <w:t xml:space="preserve"> and 5% </w:t>
      </w:r>
      <w:r w:rsidR="007F20F9" w:rsidRPr="007073AD">
        <w:rPr>
          <w:noProof/>
        </w:rPr>
        <w:t>- were in favour of another solution</w:t>
      </w:r>
      <w:r w:rsidR="004D3ABD" w:rsidRPr="007073AD">
        <w:rPr>
          <w:noProof/>
        </w:rPr>
        <w:t>.</w:t>
      </w:r>
      <w:r w:rsidR="004630F9" w:rsidRPr="007073AD">
        <w:rPr>
          <w:noProof/>
        </w:rPr>
        <w:t xml:space="preserve"> </w:t>
      </w:r>
      <w:r w:rsidR="0045355D">
        <w:rPr>
          <w:noProof/>
        </w:rPr>
        <w:t>68% of respondents agreed or strongly agreed that minimum capital requirement creates an administrative burden for companies, 67% - that the amount of the minimum capital is not related to companies’ size and activity and thus, not suited to their real needs, and 52% - that minimum capital is not a necessary protection for creditors.</w:t>
      </w:r>
    </w:p>
    <w:p w14:paraId="0BFE429F" w14:textId="031D4D47" w:rsidR="004D3ABD" w:rsidRDefault="004D3ABD" w:rsidP="004D3ABD">
      <w:pPr>
        <w:spacing w:after="120"/>
        <w:rPr>
          <w:noProof/>
        </w:rPr>
      </w:pPr>
      <w:r w:rsidRPr="249B2C69">
        <w:rPr>
          <w:noProof/>
          <w:lang w:val="en-IE"/>
        </w:rPr>
        <w:t>Almost 70% of companies, citizens (mostly founders and investors) and business associations were in favour of share capital at a symbolic amount (</w:t>
      </w:r>
      <w:r w:rsidR="13A2E719" w:rsidRPr="249B2C69">
        <w:rPr>
          <w:noProof/>
          <w:lang w:val="en-IE"/>
        </w:rPr>
        <w:t>EUR</w:t>
      </w:r>
      <w:r w:rsidR="00CE2FF4" w:rsidRPr="249B2C69">
        <w:rPr>
          <w:noProof/>
          <w:lang w:val="en-IE"/>
        </w:rPr>
        <w:t> </w:t>
      </w:r>
      <w:r w:rsidRPr="249B2C69">
        <w:rPr>
          <w:noProof/>
          <w:lang w:val="en-IE"/>
        </w:rPr>
        <w:t xml:space="preserve">1) or at </w:t>
      </w:r>
      <w:r w:rsidR="1B37F549" w:rsidRPr="249B2C69">
        <w:rPr>
          <w:noProof/>
          <w:lang w:val="en-IE"/>
        </w:rPr>
        <w:t>EUR</w:t>
      </w:r>
      <w:r w:rsidR="00CE2FF4" w:rsidRPr="249B2C69">
        <w:rPr>
          <w:noProof/>
          <w:lang w:val="en-IE"/>
        </w:rPr>
        <w:t> </w:t>
      </w:r>
      <w:r w:rsidR="1B37F549" w:rsidRPr="249B2C69">
        <w:rPr>
          <w:noProof/>
          <w:lang w:val="en-IE"/>
        </w:rPr>
        <w:t>zero</w:t>
      </w:r>
      <w:r w:rsidRPr="249B2C69">
        <w:rPr>
          <w:noProof/>
          <w:lang w:val="en-IE"/>
        </w:rPr>
        <w:t xml:space="preserve">, while around 30% </w:t>
      </w:r>
      <w:r w:rsidR="0012740D" w:rsidRPr="249B2C69">
        <w:rPr>
          <w:noProof/>
          <w:lang w:val="en-IE"/>
        </w:rPr>
        <w:t xml:space="preserve">- </w:t>
      </w:r>
      <w:r w:rsidRPr="249B2C69">
        <w:rPr>
          <w:noProof/>
          <w:lang w:val="en-IE"/>
        </w:rPr>
        <w:t>advocated for</w:t>
      </w:r>
      <w:r w:rsidRPr="249B2C69">
        <w:rPr>
          <w:b/>
          <w:i/>
          <w:noProof/>
          <w:lang w:val="en-IE"/>
        </w:rPr>
        <w:t xml:space="preserve"> </w:t>
      </w:r>
      <w:r w:rsidRPr="249B2C69">
        <w:rPr>
          <w:noProof/>
          <w:lang w:val="en-IE"/>
        </w:rPr>
        <w:t xml:space="preserve">a sum between </w:t>
      </w:r>
      <w:r w:rsidR="2E33F97A" w:rsidRPr="249B2C69">
        <w:rPr>
          <w:noProof/>
          <w:lang w:val="en-IE"/>
        </w:rPr>
        <w:t>EUR</w:t>
      </w:r>
      <w:r w:rsidR="00CE2FF4" w:rsidRPr="249B2C69">
        <w:rPr>
          <w:noProof/>
          <w:lang w:val="en-IE"/>
        </w:rPr>
        <w:t> </w:t>
      </w:r>
      <w:r w:rsidRPr="249B2C69">
        <w:rPr>
          <w:noProof/>
          <w:lang w:val="en-IE"/>
        </w:rPr>
        <w:t>1</w:t>
      </w:r>
      <w:r w:rsidR="0A8A875B" w:rsidRPr="249B2C69">
        <w:rPr>
          <w:rFonts w:ascii="Aptos" w:eastAsia="Aptos" w:hAnsi="Aptos" w:cs="Aptos"/>
          <w:noProof/>
          <w:lang w:val="en-IE"/>
        </w:rPr>
        <w:t xml:space="preserve"> </w:t>
      </w:r>
      <w:r w:rsidRPr="249B2C69">
        <w:rPr>
          <w:noProof/>
          <w:lang w:val="en-IE"/>
        </w:rPr>
        <w:t xml:space="preserve">000 and </w:t>
      </w:r>
      <w:r w:rsidR="61BB8175" w:rsidRPr="249B2C69">
        <w:rPr>
          <w:noProof/>
          <w:lang w:val="en-IE"/>
        </w:rPr>
        <w:t>EUR</w:t>
      </w:r>
      <w:r w:rsidR="00CE2FF4" w:rsidRPr="249B2C69">
        <w:rPr>
          <w:noProof/>
          <w:lang w:val="en-IE"/>
        </w:rPr>
        <w:t> </w:t>
      </w:r>
      <w:r w:rsidRPr="249B2C69">
        <w:rPr>
          <w:noProof/>
          <w:lang w:val="en-IE"/>
        </w:rPr>
        <w:t>25</w:t>
      </w:r>
      <w:r w:rsidR="3D044D5B" w:rsidRPr="249B2C69">
        <w:rPr>
          <w:rFonts w:ascii="Aptos" w:eastAsia="Aptos" w:hAnsi="Aptos" w:cs="Aptos"/>
          <w:noProof/>
          <w:lang w:val="en-IE"/>
        </w:rPr>
        <w:t xml:space="preserve"> </w:t>
      </w:r>
      <w:r w:rsidRPr="249B2C69">
        <w:rPr>
          <w:noProof/>
          <w:lang w:val="en-IE"/>
        </w:rPr>
        <w:t xml:space="preserve">000. </w:t>
      </w:r>
      <w:r w:rsidR="000759E4" w:rsidRPr="249B2C69">
        <w:rPr>
          <w:noProof/>
          <w:lang w:val="en-IE"/>
        </w:rPr>
        <w:t>Business associations highlighted that minimum capital requirements are increasingly irrelevant as a protection for creditors and can hinder startup formation and cross-border scaling.</w:t>
      </w:r>
      <w:r w:rsidR="00AF4695" w:rsidRPr="249B2C69">
        <w:rPr>
          <w:noProof/>
          <w:lang w:val="en-IE"/>
        </w:rPr>
        <w:t xml:space="preserve"> </w:t>
      </w:r>
      <w:r w:rsidRPr="249B2C69">
        <w:rPr>
          <w:noProof/>
          <w:lang w:val="en-IE"/>
        </w:rPr>
        <w:t>Public authorities were also largely (over 70%) in favour of a symbolic amount (</w:t>
      </w:r>
      <w:r w:rsidR="4AEA26E3" w:rsidRPr="249B2C69">
        <w:rPr>
          <w:noProof/>
          <w:lang w:val="en-IE"/>
        </w:rPr>
        <w:t>EUR</w:t>
      </w:r>
      <w:r w:rsidR="00CE2FF4" w:rsidRPr="249B2C69">
        <w:rPr>
          <w:noProof/>
          <w:lang w:val="en-IE"/>
        </w:rPr>
        <w:t> </w:t>
      </w:r>
      <w:r w:rsidRPr="249B2C69">
        <w:rPr>
          <w:noProof/>
          <w:lang w:val="en-IE"/>
        </w:rPr>
        <w:t xml:space="preserve">1) or at </w:t>
      </w:r>
      <w:r w:rsidR="3D515519" w:rsidRPr="249B2C69">
        <w:rPr>
          <w:noProof/>
          <w:lang w:val="en-IE"/>
        </w:rPr>
        <w:t>EUR</w:t>
      </w:r>
      <w:r w:rsidR="00CE2FF4" w:rsidRPr="249B2C69">
        <w:rPr>
          <w:noProof/>
          <w:lang w:val="en-IE"/>
        </w:rPr>
        <w:t> </w:t>
      </w:r>
      <w:r w:rsidRPr="249B2C69">
        <w:rPr>
          <w:noProof/>
          <w:lang w:val="en-IE"/>
        </w:rPr>
        <w:t xml:space="preserve">zero, </w:t>
      </w:r>
      <w:r w:rsidR="00030EC3" w:rsidRPr="249B2C69">
        <w:rPr>
          <w:noProof/>
          <w:lang w:val="en-IE"/>
        </w:rPr>
        <w:t xml:space="preserve">with </w:t>
      </w:r>
      <w:r w:rsidRPr="249B2C69">
        <w:rPr>
          <w:noProof/>
          <w:lang w:val="en-IE"/>
        </w:rPr>
        <w:t xml:space="preserve">8% </w:t>
      </w:r>
      <w:r w:rsidR="00030EC3" w:rsidRPr="249B2C69">
        <w:rPr>
          <w:noProof/>
          <w:lang w:val="en-IE"/>
        </w:rPr>
        <w:t xml:space="preserve">in favour of minimum capital </w:t>
      </w:r>
      <w:r w:rsidRPr="249B2C69">
        <w:rPr>
          <w:noProof/>
          <w:lang w:val="en-IE"/>
        </w:rPr>
        <w:t xml:space="preserve">between </w:t>
      </w:r>
      <w:r w:rsidR="13D6F50C" w:rsidRPr="249B2C69">
        <w:rPr>
          <w:noProof/>
          <w:lang w:val="en-IE"/>
        </w:rPr>
        <w:t>EUR</w:t>
      </w:r>
      <w:r w:rsidR="00CE2FF4" w:rsidRPr="249B2C69">
        <w:rPr>
          <w:noProof/>
          <w:lang w:val="en-IE"/>
        </w:rPr>
        <w:t> </w:t>
      </w:r>
      <w:r w:rsidRPr="249B2C69">
        <w:rPr>
          <w:noProof/>
          <w:lang w:val="en-IE"/>
        </w:rPr>
        <w:t>1</w:t>
      </w:r>
      <w:r w:rsidR="7A91111C" w:rsidRPr="249B2C69">
        <w:rPr>
          <w:rFonts w:ascii="Aptos" w:eastAsia="Aptos" w:hAnsi="Aptos" w:cs="Aptos"/>
          <w:noProof/>
          <w:lang w:val="en-IE"/>
        </w:rPr>
        <w:t xml:space="preserve"> </w:t>
      </w:r>
      <w:r w:rsidRPr="249B2C69">
        <w:rPr>
          <w:noProof/>
          <w:lang w:val="en-IE"/>
        </w:rPr>
        <w:t xml:space="preserve">000 and </w:t>
      </w:r>
      <w:r w:rsidR="13D6F50C" w:rsidRPr="249B2C69">
        <w:rPr>
          <w:noProof/>
          <w:lang w:val="en-IE"/>
        </w:rPr>
        <w:t>EUR</w:t>
      </w:r>
      <w:r w:rsidR="00CE2FF4" w:rsidRPr="249B2C69">
        <w:rPr>
          <w:noProof/>
          <w:lang w:val="en-IE"/>
        </w:rPr>
        <w:t> </w:t>
      </w:r>
      <w:r w:rsidRPr="249B2C69">
        <w:rPr>
          <w:noProof/>
          <w:lang w:val="en-IE"/>
        </w:rPr>
        <w:t>5</w:t>
      </w:r>
      <w:r w:rsidR="27F6748D" w:rsidRPr="249B2C69">
        <w:rPr>
          <w:rFonts w:ascii="Aptos" w:eastAsia="Aptos" w:hAnsi="Aptos" w:cs="Aptos"/>
          <w:noProof/>
          <w:lang w:val="en-IE"/>
        </w:rPr>
        <w:t xml:space="preserve"> </w:t>
      </w:r>
      <w:r w:rsidRPr="249B2C69">
        <w:rPr>
          <w:noProof/>
          <w:lang w:val="en-IE"/>
        </w:rPr>
        <w:t xml:space="preserve">000 and 17% </w:t>
      </w:r>
      <w:r w:rsidR="00030EC3" w:rsidRPr="249B2C69">
        <w:rPr>
          <w:noProof/>
          <w:lang w:val="en-IE"/>
        </w:rPr>
        <w:t xml:space="preserve">- </w:t>
      </w:r>
      <w:r w:rsidRPr="249B2C69">
        <w:rPr>
          <w:noProof/>
          <w:lang w:val="en-IE"/>
        </w:rPr>
        <w:t xml:space="preserve">between </w:t>
      </w:r>
      <w:r w:rsidR="19CA8834" w:rsidRPr="249B2C69">
        <w:rPr>
          <w:noProof/>
          <w:lang w:val="en-IE"/>
        </w:rPr>
        <w:t>EUR</w:t>
      </w:r>
      <w:r w:rsidR="00CE2FF4" w:rsidRPr="249B2C69">
        <w:rPr>
          <w:noProof/>
          <w:lang w:val="en-IE"/>
        </w:rPr>
        <w:t> </w:t>
      </w:r>
      <w:r w:rsidRPr="249B2C69">
        <w:rPr>
          <w:noProof/>
          <w:lang w:val="en-IE"/>
        </w:rPr>
        <w:t>5</w:t>
      </w:r>
      <w:r w:rsidR="39953D35" w:rsidRPr="249B2C69">
        <w:rPr>
          <w:rFonts w:ascii="Aptos" w:eastAsia="Aptos" w:hAnsi="Aptos" w:cs="Aptos"/>
          <w:noProof/>
          <w:lang w:val="en-IE"/>
        </w:rPr>
        <w:t xml:space="preserve"> </w:t>
      </w:r>
      <w:r w:rsidRPr="249B2C69">
        <w:rPr>
          <w:noProof/>
          <w:lang w:val="en-IE"/>
        </w:rPr>
        <w:t xml:space="preserve">000 and </w:t>
      </w:r>
      <w:r w:rsidR="00CE2FF4" w:rsidRPr="249B2C69">
        <w:rPr>
          <w:noProof/>
          <w:lang w:val="en-IE"/>
        </w:rPr>
        <w:t>EUR </w:t>
      </w:r>
      <w:r w:rsidRPr="249B2C69">
        <w:rPr>
          <w:noProof/>
          <w:lang w:val="en-IE"/>
        </w:rPr>
        <w:t>10</w:t>
      </w:r>
      <w:r w:rsidR="493E7381" w:rsidRPr="249B2C69">
        <w:rPr>
          <w:rFonts w:ascii="Aptos" w:eastAsia="Aptos" w:hAnsi="Aptos" w:cs="Aptos"/>
          <w:noProof/>
          <w:lang w:val="en-IE"/>
        </w:rPr>
        <w:t xml:space="preserve"> </w:t>
      </w:r>
      <w:r w:rsidRPr="249B2C69">
        <w:rPr>
          <w:noProof/>
          <w:lang w:val="en-IE"/>
        </w:rPr>
        <w:t xml:space="preserve">000. Trade </w:t>
      </w:r>
      <w:r w:rsidR="008568B7" w:rsidRPr="249B2C69">
        <w:rPr>
          <w:noProof/>
          <w:lang w:val="en-IE"/>
        </w:rPr>
        <w:t>u</w:t>
      </w:r>
      <w:r w:rsidRPr="249B2C69">
        <w:rPr>
          <w:noProof/>
          <w:lang w:val="en-IE"/>
        </w:rPr>
        <w:t xml:space="preserve">nions generally </w:t>
      </w:r>
      <w:r w:rsidR="00F61F86" w:rsidRPr="249B2C69">
        <w:rPr>
          <w:noProof/>
          <w:lang w:val="en-IE"/>
        </w:rPr>
        <w:t>thought</w:t>
      </w:r>
      <w:r w:rsidRPr="249B2C69">
        <w:rPr>
          <w:noProof/>
          <w:lang w:val="en-IE"/>
        </w:rPr>
        <w:t xml:space="preserve"> that the minimum share capital </w:t>
      </w:r>
      <w:r w:rsidR="00F61F86" w:rsidRPr="249B2C69">
        <w:rPr>
          <w:noProof/>
          <w:lang w:val="en-IE"/>
        </w:rPr>
        <w:t>for 28</w:t>
      </w:r>
      <w:r w:rsidR="00F61F86" w:rsidRPr="249B2C69">
        <w:rPr>
          <w:noProof/>
          <w:vertAlign w:val="superscript"/>
          <w:lang w:val="en-IE"/>
        </w:rPr>
        <w:t>th</w:t>
      </w:r>
      <w:r w:rsidR="00F61F86" w:rsidRPr="249B2C69">
        <w:rPr>
          <w:noProof/>
          <w:lang w:val="en-IE"/>
        </w:rPr>
        <w:t xml:space="preserve"> regime companies </w:t>
      </w:r>
      <w:r w:rsidRPr="249B2C69">
        <w:rPr>
          <w:noProof/>
          <w:lang w:val="en-IE"/>
        </w:rPr>
        <w:t>should mirror national requirements to prevent circumvention of domestic rules and protect workers and creditors</w:t>
      </w:r>
      <w:r w:rsidR="0074034D" w:rsidRPr="249B2C69">
        <w:rPr>
          <w:noProof/>
          <w:lang w:val="en-IE"/>
        </w:rPr>
        <w:t xml:space="preserve"> and saw it as an important protection for creditors;</w:t>
      </w:r>
      <w:r w:rsidR="008568B7" w:rsidRPr="249B2C69">
        <w:rPr>
          <w:noProof/>
          <w:lang w:val="en-IE"/>
        </w:rPr>
        <w:t xml:space="preserve"> some </w:t>
      </w:r>
      <w:r w:rsidRPr="249B2C69">
        <w:rPr>
          <w:noProof/>
          <w:lang w:val="en-IE"/>
        </w:rPr>
        <w:t>explicitly warned that “1-euro companies” risk enabling abuse and social dumping.</w:t>
      </w:r>
      <w:r w:rsidR="002E7F07" w:rsidRPr="249B2C69">
        <w:rPr>
          <w:noProof/>
          <w:lang w:val="en-IE"/>
        </w:rPr>
        <w:t xml:space="preserve"> </w:t>
      </w:r>
      <w:r w:rsidR="008568B7" w:rsidRPr="249B2C69">
        <w:rPr>
          <w:noProof/>
          <w:lang w:val="en-IE"/>
        </w:rPr>
        <w:t>While n</w:t>
      </w:r>
      <w:r w:rsidRPr="249B2C69">
        <w:rPr>
          <w:noProof/>
          <w:lang w:val="en-IE"/>
        </w:rPr>
        <w:t>otar</w:t>
      </w:r>
      <w:r w:rsidR="00A65FFB" w:rsidRPr="249B2C69">
        <w:rPr>
          <w:noProof/>
          <w:lang w:val="en-IE"/>
        </w:rPr>
        <w:t>y organisations</w:t>
      </w:r>
      <w:r w:rsidRPr="249B2C69">
        <w:rPr>
          <w:noProof/>
          <w:lang w:val="en-IE"/>
        </w:rPr>
        <w:t xml:space="preserve"> </w:t>
      </w:r>
      <w:r w:rsidR="002E7F07" w:rsidRPr="249B2C69">
        <w:rPr>
          <w:noProof/>
          <w:lang w:val="en-IE"/>
        </w:rPr>
        <w:t xml:space="preserve">were of the opinion </w:t>
      </w:r>
      <w:r w:rsidRPr="249B2C69">
        <w:rPr>
          <w:noProof/>
          <w:lang w:val="en-IE"/>
        </w:rPr>
        <w:t xml:space="preserve">that a symbolic capital, such as </w:t>
      </w:r>
      <w:r w:rsidR="32E23AEC" w:rsidRPr="249B2C69">
        <w:rPr>
          <w:noProof/>
          <w:lang w:val="en-IE"/>
        </w:rPr>
        <w:t>EUR</w:t>
      </w:r>
      <w:r w:rsidR="00CE2FF4" w:rsidRPr="249B2C69">
        <w:rPr>
          <w:noProof/>
          <w:lang w:val="en-IE"/>
        </w:rPr>
        <w:t> </w:t>
      </w:r>
      <w:r w:rsidRPr="249B2C69">
        <w:rPr>
          <w:noProof/>
          <w:lang w:val="en-IE"/>
        </w:rPr>
        <w:t>1, would undermine creditor protection and encourage regulatory arbitrage</w:t>
      </w:r>
      <w:r w:rsidR="00A65FFB" w:rsidRPr="249B2C69">
        <w:rPr>
          <w:noProof/>
          <w:lang w:val="en-IE"/>
        </w:rPr>
        <w:t xml:space="preserve"> and called </w:t>
      </w:r>
      <w:r w:rsidRPr="249B2C69">
        <w:rPr>
          <w:noProof/>
          <w:lang w:val="en-IE"/>
        </w:rPr>
        <w:t xml:space="preserve">for a meaningful minimum capital or </w:t>
      </w:r>
      <w:r w:rsidR="0081188E" w:rsidRPr="249B2C69">
        <w:rPr>
          <w:noProof/>
          <w:lang w:val="en-IE"/>
        </w:rPr>
        <w:t xml:space="preserve">to be set </w:t>
      </w:r>
      <w:r w:rsidRPr="249B2C69">
        <w:rPr>
          <w:noProof/>
          <w:lang w:val="en-IE"/>
        </w:rPr>
        <w:t>at national level to preserve financial reliability</w:t>
      </w:r>
      <w:r w:rsidR="00A65FFB" w:rsidRPr="249B2C69">
        <w:rPr>
          <w:noProof/>
          <w:lang w:val="en-IE"/>
        </w:rPr>
        <w:t>, the responding</w:t>
      </w:r>
      <w:r w:rsidRPr="249B2C69">
        <w:rPr>
          <w:noProof/>
          <w:lang w:val="en-IE"/>
        </w:rPr>
        <w:t xml:space="preserve"> bar associations were more flexib</w:t>
      </w:r>
      <w:r w:rsidR="00A65FFB" w:rsidRPr="249B2C69">
        <w:rPr>
          <w:noProof/>
          <w:lang w:val="en-IE"/>
        </w:rPr>
        <w:t>le</w:t>
      </w:r>
      <w:r w:rsidR="00BD1B3B" w:rsidRPr="249B2C69">
        <w:rPr>
          <w:noProof/>
          <w:lang w:val="en-IE"/>
        </w:rPr>
        <w:t xml:space="preserve"> (two national bars </w:t>
      </w:r>
      <w:r w:rsidRPr="249B2C69">
        <w:rPr>
          <w:noProof/>
          <w:lang w:val="en-IE"/>
        </w:rPr>
        <w:t>support</w:t>
      </w:r>
      <w:r w:rsidR="0081188E" w:rsidRPr="249B2C69">
        <w:rPr>
          <w:noProof/>
          <w:lang w:val="en-IE"/>
        </w:rPr>
        <w:t>ed</w:t>
      </w:r>
      <w:r w:rsidR="00BD1B3B" w:rsidRPr="249B2C69">
        <w:rPr>
          <w:noProof/>
          <w:lang w:val="en-IE"/>
        </w:rPr>
        <w:t xml:space="preserve"> </w:t>
      </w:r>
      <w:r w:rsidRPr="249B2C69">
        <w:rPr>
          <w:noProof/>
          <w:lang w:val="en-IE"/>
        </w:rPr>
        <w:t>no or symbolic capital</w:t>
      </w:r>
      <w:r w:rsidR="00BD1B3B" w:rsidRPr="249B2C69">
        <w:rPr>
          <w:noProof/>
          <w:lang w:val="en-IE"/>
        </w:rPr>
        <w:t xml:space="preserve"> and one </w:t>
      </w:r>
      <w:r w:rsidRPr="249B2C69">
        <w:rPr>
          <w:noProof/>
          <w:lang w:val="en-IE"/>
        </w:rPr>
        <w:t>suggest</w:t>
      </w:r>
      <w:r w:rsidR="0081188E" w:rsidRPr="249B2C69">
        <w:rPr>
          <w:noProof/>
          <w:lang w:val="en-IE"/>
        </w:rPr>
        <w:t>ed</w:t>
      </w:r>
      <w:r w:rsidRPr="249B2C69">
        <w:rPr>
          <w:noProof/>
          <w:lang w:val="en-IE"/>
        </w:rPr>
        <w:t xml:space="preserve"> a range between </w:t>
      </w:r>
      <w:r w:rsidR="31BBBD2D" w:rsidRPr="249B2C69">
        <w:rPr>
          <w:noProof/>
          <w:lang w:val="en-IE"/>
        </w:rPr>
        <w:t>EUR</w:t>
      </w:r>
      <w:r w:rsidR="00CE2FF4" w:rsidRPr="249B2C69">
        <w:rPr>
          <w:noProof/>
          <w:lang w:val="en-IE"/>
        </w:rPr>
        <w:t> </w:t>
      </w:r>
      <w:r w:rsidRPr="249B2C69">
        <w:rPr>
          <w:noProof/>
          <w:lang w:val="en-IE"/>
        </w:rPr>
        <w:t>5</w:t>
      </w:r>
      <w:r w:rsidR="45C40D8D" w:rsidRPr="249B2C69">
        <w:rPr>
          <w:rFonts w:ascii="Aptos" w:eastAsia="Aptos" w:hAnsi="Aptos" w:cs="Aptos"/>
          <w:noProof/>
          <w:lang w:val="en-IE"/>
        </w:rPr>
        <w:t xml:space="preserve"> </w:t>
      </w:r>
      <w:r w:rsidRPr="249B2C69">
        <w:rPr>
          <w:noProof/>
          <w:lang w:val="en-IE"/>
        </w:rPr>
        <w:t>000 and</w:t>
      </w:r>
      <w:r w:rsidR="31BBBD2D" w:rsidRPr="249B2C69">
        <w:rPr>
          <w:noProof/>
          <w:lang w:val="en-IE"/>
        </w:rPr>
        <w:t xml:space="preserve"> </w:t>
      </w:r>
      <w:r w:rsidR="00CE2FF4" w:rsidRPr="249B2C69">
        <w:rPr>
          <w:noProof/>
          <w:lang w:val="en-IE"/>
        </w:rPr>
        <w:t>EUR </w:t>
      </w:r>
      <w:r w:rsidRPr="249B2C69">
        <w:rPr>
          <w:noProof/>
          <w:lang w:val="en-IE"/>
        </w:rPr>
        <w:t>10</w:t>
      </w:r>
      <w:r w:rsidR="55B6F71B" w:rsidRPr="249B2C69">
        <w:rPr>
          <w:rFonts w:ascii="Aptos" w:eastAsia="Aptos" w:hAnsi="Aptos" w:cs="Aptos"/>
          <w:noProof/>
          <w:lang w:val="en-IE"/>
        </w:rPr>
        <w:t xml:space="preserve"> </w:t>
      </w:r>
      <w:r w:rsidR="00BD1B3B" w:rsidRPr="249B2C69">
        <w:rPr>
          <w:noProof/>
          <w:lang w:val="en-IE"/>
        </w:rPr>
        <w:t>000).</w:t>
      </w:r>
    </w:p>
    <w:p w14:paraId="25995203" w14:textId="2B2619D6" w:rsidR="001123FF" w:rsidRDefault="009E1358" w:rsidP="004D3ABD">
      <w:pPr>
        <w:spacing w:after="120"/>
        <w:rPr>
          <w:noProof/>
        </w:rPr>
      </w:pPr>
      <w:r w:rsidRPr="007073AD">
        <w:rPr>
          <w:noProof/>
        </w:rPr>
        <w:t xml:space="preserve">When asked about possible </w:t>
      </w:r>
      <w:r w:rsidRPr="007073AD">
        <w:rPr>
          <w:b/>
          <w:noProof/>
        </w:rPr>
        <w:t>safeguards for creditors</w:t>
      </w:r>
      <w:r w:rsidRPr="007073AD">
        <w:rPr>
          <w:noProof/>
        </w:rPr>
        <w:t xml:space="preserve"> in case minimum capital was set at a low amount or not required, 44% of respondents </w:t>
      </w:r>
      <w:r w:rsidR="00B67EB3">
        <w:rPr>
          <w:noProof/>
        </w:rPr>
        <w:t xml:space="preserve">to the public consultation </w:t>
      </w:r>
      <w:r w:rsidRPr="007073AD">
        <w:rPr>
          <w:noProof/>
        </w:rPr>
        <w:t xml:space="preserve">replied that </w:t>
      </w:r>
      <w:r w:rsidRPr="00E067BC">
        <w:rPr>
          <w:noProof/>
        </w:rPr>
        <w:t xml:space="preserve">other </w:t>
      </w:r>
      <w:r>
        <w:rPr>
          <w:noProof/>
        </w:rPr>
        <w:t xml:space="preserve">creditor </w:t>
      </w:r>
      <w:r w:rsidRPr="00E067BC">
        <w:rPr>
          <w:noProof/>
        </w:rPr>
        <w:t>safeguards</w:t>
      </w:r>
      <w:r>
        <w:rPr>
          <w:noProof/>
        </w:rPr>
        <w:t xml:space="preserve"> should</w:t>
      </w:r>
      <w:r w:rsidRPr="00E067BC">
        <w:rPr>
          <w:noProof/>
        </w:rPr>
        <w:t xml:space="preserve"> be provided</w:t>
      </w:r>
      <w:r>
        <w:rPr>
          <w:noProof/>
        </w:rPr>
        <w:t xml:space="preserve"> while </w:t>
      </w:r>
      <w:r w:rsidRPr="007073AD">
        <w:rPr>
          <w:noProof/>
        </w:rPr>
        <w:t xml:space="preserve">32% thought that no safeguards </w:t>
      </w:r>
      <w:r w:rsidRPr="5A5A83BB">
        <w:rPr>
          <w:noProof/>
        </w:rPr>
        <w:t>would</w:t>
      </w:r>
      <w:r>
        <w:rPr>
          <w:noProof/>
        </w:rPr>
        <w:t xml:space="preserve"> be necessary.</w:t>
      </w:r>
      <w:r w:rsidR="00A07BED">
        <w:rPr>
          <w:noProof/>
        </w:rPr>
        <w:t xml:space="preserve"> The views were split among b</w:t>
      </w:r>
      <w:r w:rsidR="00A07BED" w:rsidRPr="007073AD">
        <w:rPr>
          <w:noProof/>
        </w:rPr>
        <w:t>usiness associations, and companies and citizens (mainly founders and investors)</w:t>
      </w:r>
      <w:r w:rsidR="00995E95" w:rsidRPr="007073AD">
        <w:rPr>
          <w:noProof/>
        </w:rPr>
        <w:t>.</w:t>
      </w:r>
      <w:r w:rsidR="00A07BED" w:rsidRPr="007073AD">
        <w:rPr>
          <w:noProof/>
        </w:rPr>
        <w:t xml:space="preserve"> </w:t>
      </w:r>
      <w:r w:rsidR="003129C4" w:rsidRPr="00B24FCB">
        <w:rPr>
          <w:noProof/>
        </w:rPr>
        <w:t>Trade unions and notaries shared concerns about weakening creditor protection if minimum capital requirements were removed or set too low</w:t>
      </w:r>
      <w:r w:rsidR="00102092">
        <w:rPr>
          <w:noProof/>
        </w:rPr>
        <w:t>; for instance, some</w:t>
      </w:r>
      <w:r w:rsidR="00102092" w:rsidRPr="00B24FCB">
        <w:rPr>
          <w:noProof/>
        </w:rPr>
        <w:t xml:space="preserve"> notar</w:t>
      </w:r>
      <w:r w:rsidR="00102092">
        <w:rPr>
          <w:noProof/>
        </w:rPr>
        <w:t>y organisations</w:t>
      </w:r>
      <w:r w:rsidR="00102092" w:rsidRPr="00B24FCB">
        <w:rPr>
          <w:noProof/>
        </w:rPr>
        <w:t xml:space="preserve"> emphasised that minimum capital should be mandatory and complemented by solvency and liquidity tests before any distribution.</w:t>
      </w:r>
      <w:r w:rsidR="003129C4">
        <w:rPr>
          <w:noProof/>
        </w:rPr>
        <w:t xml:space="preserve"> </w:t>
      </w:r>
      <w:r w:rsidR="00490B25">
        <w:rPr>
          <w:noProof/>
        </w:rPr>
        <w:t>The l</w:t>
      </w:r>
      <w:r w:rsidR="00490B25" w:rsidRPr="00D0634A">
        <w:rPr>
          <w:noProof/>
        </w:rPr>
        <w:t xml:space="preserve">egal professionals </w:t>
      </w:r>
      <w:r w:rsidR="00490B25">
        <w:rPr>
          <w:noProof/>
        </w:rPr>
        <w:t xml:space="preserve">also broadly </w:t>
      </w:r>
      <w:r w:rsidR="00490B25" w:rsidRPr="00D0634A">
        <w:rPr>
          <w:noProof/>
        </w:rPr>
        <w:t>agreed that, if the 28</w:t>
      </w:r>
      <w:r w:rsidR="00490B25" w:rsidRPr="000D3885">
        <w:rPr>
          <w:noProof/>
          <w:vertAlign w:val="superscript"/>
        </w:rPr>
        <w:t>th</w:t>
      </w:r>
      <w:r w:rsidR="00490B25" w:rsidRPr="00D0634A">
        <w:rPr>
          <w:noProof/>
        </w:rPr>
        <w:t xml:space="preserve"> regime dispensed with a statutory minimum capital, strong alternative safeguards would be essential to maintain creditor confidence and financial reliability.</w:t>
      </w:r>
    </w:p>
    <w:p w14:paraId="049DB59D" w14:textId="597D077C" w:rsidR="00F130C3" w:rsidRPr="007073AD" w:rsidRDefault="004E17DD" w:rsidP="00F130C3">
      <w:pPr>
        <w:spacing w:after="120"/>
        <w:rPr>
          <w:noProof/>
        </w:rPr>
      </w:pPr>
      <w:r w:rsidRPr="249B2C69">
        <w:rPr>
          <w:noProof/>
          <w:lang w:val="en-IE"/>
        </w:rPr>
        <w:t xml:space="preserve">In the context of </w:t>
      </w:r>
      <w:r w:rsidRPr="249B2C69">
        <w:rPr>
          <w:b/>
          <w:noProof/>
          <w:lang w:val="en-IE"/>
        </w:rPr>
        <w:t>specific types of safeguards,</w:t>
      </w:r>
      <w:r w:rsidRPr="249B2C69">
        <w:rPr>
          <w:noProof/>
          <w:lang w:val="en-IE"/>
        </w:rPr>
        <w:t xml:space="preserve"> </w:t>
      </w:r>
      <w:r w:rsidR="00D227C1" w:rsidRPr="249B2C69">
        <w:rPr>
          <w:noProof/>
          <w:lang w:val="en-IE"/>
        </w:rPr>
        <w:t xml:space="preserve">88% </w:t>
      </w:r>
      <w:r w:rsidRPr="249B2C69">
        <w:rPr>
          <w:noProof/>
          <w:lang w:val="en-IE"/>
        </w:rPr>
        <w:t xml:space="preserve">of respondents </w:t>
      </w:r>
      <w:r w:rsidR="00D227C1" w:rsidRPr="249B2C69">
        <w:rPr>
          <w:noProof/>
          <w:lang w:val="en-IE"/>
        </w:rPr>
        <w:t>agree</w:t>
      </w:r>
      <w:r w:rsidRPr="249B2C69">
        <w:rPr>
          <w:noProof/>
          <w:lang w:val="en-IE"/>
        </w:rPr>
        <w:t>d</w:t>
      </w:r>
      <w:r w:rsidR="00D227C1" w:rsidRPr="249B2C69">
        <w:rPr>
          <w:noProof/>
          <w:lang w:val="en-IE"/>
        </w:rPr>
        <w:t xml:space="preserve"> or strongly agree</w:t>
      </w:r>
      <w:r w:rsidRPr="249B2C69">
        <w:rPr>
          <w:noProof/>
          <w:lang w:val="en-IE"/>
        </w:rPr>
        <w:t>d that the</w:t>
      </w:r>
      <w:r w:rsidR="00D227C1" w:rsidRPr="249B2C69">
        <w:rPr>
          <w:noProof/>
          <w:lang w:val="en-IE"/>
        </w:rPr>
        <w:t xml:space="preserve"> distribution of dividends </w:t>
      </w:r>
      <w:r w:rsidRPr="249B2C69">
        <w:rPr>
          <w:noProof/>
          <w:lang w:val="en-IE"/>
        </w:rPr>
        <w:t xml:space="preserve">should </w:t>
      </w:r>
      <w:r w:rsidR="00D227C1" w:rsidRPr="249B2C69">
        <w:rPr>
          <w:noProof/>
          <w:lang w:val="en-IE"/>
        </w:rPr>
        <w:t>be allowed only if the company can pay its planned expenses over a defined period of time</w:t>
      </w:r>
      <w:r w:rsidRPr="249B2C69">
        <w:rPr>
          <w:noProof/>
          <w:lang w:val="en-IE"/>
        </w:rPr>
        <w:t>;</w:t>
      </w:r>
      <w:r w:rsidR="00D227C1" w:rsidRPr="249B2C69">
        <w:rPr>
          <w:noProof/>
          <w:lang w:val="en-IE"/>
        </w:rPr>
        <w:t xml:space="preserve"> 75% </w:t>
      </w:r>
      <w:r w:rsidRPr="249B2C69">
        <w:rPr>
          <w:noProof/>
          <w:lang w:val="en-IE"/>
        </w:rPr>
        <w:t xml:space="preserve">- </w:t>
      </w:r>
      <w:r w:rsidR="00E53F99" w:rsidRPr="249B2C69">
        <w:rPr>
          <w:noProof/>
          <w:lang w:val="en-IE"/>
        </w:rPr>
        <w:t xml:space="preserve">that companies should need to </w:t>
      </w:r>
      <w:r w:rsidR="00D227C1" w:rsidRPr="249B2C69">
        <w:rPr>
          <w:noProof/>
          <w:lang w:val="en-IE"/>
        </w:rPr>
        <w:t>allocat</w:t>
      </w:r>
      <w:r w:rsidR="00E53F99" w:rsidRPr="249B2C69">
        <w:rPr>
          <w:noProof/>
          <w:lang w:val="en-IE"/>
        </w:rPr>
        <w:t>e</w:t>
      </w:r>
      <w:r w:rsidR="00D227C1" w:rsidRPr="249B2C69">
        <w:rPr>
          <w:noProof/>
          <w:lang w:val="en-IE"/>
        </w:rPr>
        <w:t xml:space="preserve"> a specific percentage of profits to company’s legal reserve up to a predefined amount</w:t>
      </w:r>
      <w:r w:rsidR="00E53F99" w:rsidRPr="249B2C69">
        <w:rPr>
          <w:noProof/>
          <w:lang w:val="en-IE"/>
        </w:rPr>
        <w:t>;</w:t>
      </w:r>
      <w:r w:rsidR="00D227C1" w:rsidRPr="249B2C69">
        <w:rPr>
          <w:noProof/>
          <w:lang w:val="en-IE"/>
        </w:rPr>
        <w:t xml:space="preserve"> and 63% </w:t>
      </w:r>
      <w:r w:rsidR="00E53F99" w:rsidRPr="249B2C69">
        <w:rPr>
          <w:noProof/>
          <w:lang w:val="en-IE"/>
        </w:rPr>
        <w:t xml:space="preserve">- </w:t>
      </w:r>
      <w:r w:rsidR="00D836F6" w:rsidRPr="249B2C69">
        <w:rPr>
          <w:noProof/>
          <w:lang w:val="en-IE"/>
        </w:rPr>
        <w:t xml:space="preserve">that there should be a </w:t>
      </w:r>
      <w:r w:rsidR="00D227C1" w:rsidRPr="249B2C69">
        <w:rPr>
          <w:noProof/>
          <w:lang w:val="en-IE"/>
        </w:rPr>
        <w:t xml:space="preserve">mandatory minimum capital increase in case of a significant annual loss. </w:t>
      </w:r>
      <w:r w:rsidR="00F130C3" w:rsidRPr="249B2C69">
        <w:rPr>
          <w:noProof/>
          <w:lang w:val="en-IE"/>
        </w:rPr>
        <w:t>Notary associations, some public authorities, companies and citizens (mainly founders and investors) advocated for a solvency test that would allow verification of a company’s viability in the mutual interest of shareholders and creditors.</w:t>
      </w:r>
      <w:r w:rsidR="000C4EF7" w:rsidRPr="249B2C69">
        <w:rPr>
          <w:noProof/>
          <w:lang w:val="en-IE"/>
        </w:rPr>
        <w:t xml:space="preserve"> Some business associations emphasized that these obligations should not restrict significantly profits that companies can invest in R&amp;D and operational activities</w:t>
      </w:r>
      <w:r w:rsidR="00D35136" w:rsidRPr="249B2C69">
        <w:rPr>
          <w:noProof/>
          <w:lang w:val="en-IE"/>
        </w:rPr>
        <w:t xml:space="preserve"> and some companies emphasized that good information for creditors on companies’ financial situations could help compensate for the symbolic nature of capital’s amount.</w:t>
      </w:r>
    </w:p>
    <w:p w14:paraId="60AAC719" w14:textId="6D8E979C" w:rsidR="008A03CB" w:rsidRPr="00596AFB" w:rsidRDefault="00254992" w:rsidP="008A03CB">
      <w:pPr>
        <w:pStyle w:val="paragraph"/>
        <w:spacing w:before="0" w:beforeAutospacing="0" w:after="120" w:afterAutospacing="0"/>
        <w:jc w:val="both"/>
        <w:textAlignment w:val="baseline"/>
        <w:rPr>
          <w:noProof/>
        </w:rPr>
      </w:pPr>
      <w:r w:rsidRPr="00E55595">
        <w:rPr>
          <w:noProof/>
        </w:rPr>
        <w:t xml:space="preserve">The most frequently mentioned barriers </w:t>
      </w:r>
      <w:r w:rsidRPr="00E55595">
        <w:rPr>
          <w:rStyle w:val="normaltextrun"/>
          <w:noProof/>
        </w:rPr>
        <w:t xml:space="preserve">to </w:t>
      </w:r>
      <w:r w:rsidRPr="00E55595">
        <w:rPr>
          <w:rStyle w:val="normaltextrun"/>
          <w:b/>
          <w:noProof/>
        </w:rPr>
        <w:t>attracting private investments</w:t>
      </w:r>
      <w:r w:rsidRPr="00E55595">
        <w:rPr>
          <w:rStyle w:val="normaltextrun"/>
          <w:b/>
          <w:i/>
          <w:noProof/>
        </w:rPr>
        <w:t xml:space="preserve"> </w:t>
      </w:r>
      <w:r w:rsidRPr="00E55595">
        <w:rPr>
          <w:rStyle w:val="normaltextrun"/>
          <w:b/>
          <w:noProof/>
        </w:rPr>
        <w:t>for companies</w:t>
      </w:r>
      <w:r w:rsidR="005122CE" w:rsidRPr="00E55595">
        <w:rPr>
          <w:rStyle w:val="normaltextrun"/>
          <w:b/>
          <w:noProof/>
        </w:rPr>
        <w:t xml:space="preserve"> and for </w:t>
      </w:r>
      <w:r w:rsidR="00747151" w:rsidRPr="00E55595">
        <w:rPr>
          <w:rStyle w:val="normaltextrun"/>
          <w:b/>
          <w:noProof/>
        </w:rPr>
        <w:t xml:space="preserve">EU </w:t>
      </w:r>
      <w:r w:rsidR="005122CE" w:rsidRPr="00E55595">
        <w:rPr>
          <w:rStyle w:val="normaltextrun"/>
          <w:b/>
          <w:noProof/>
        </w:rPr>
        <w:t>investors</w:t>
      </w:r>
      <w:r w:rsidRPr="00E55595">
        <w:rPr>
          <w:rStyle w:val="normaltextrun"/>
          <w:b/>
          <w:i/>
          <w:noProof/>
        </w:rPr>
        <w:t xml:space="preserve"> </w:t>
      </w:r>
      <w:r w:rsidRPr="00E55595">
        <w:rPr>
          <w:noProof/>
        </w:rPr>
        <w:t xml:space="preserve">were time-consuming </w:t>
      </w:r>
      <w:r w:rsidRPr="00E55595">
        <w:rPr>
          <w:b/>
          <w:noProof/>
        </w:rPr>
        <w:t>capital increase procedures</w:t>
      </w:r>
      <w:r w:rsidRPr="00E55595">
        <w:rPr>
          <w:noProof/>
        </w:rPr>
        <w:t xml:space="preserve"> (847 replies</w:t>
      </w:r>
      <w:r w:rsidR="00B6063E" w:rsidRPr="00596AFB">
        <w:rPr>
          <w:noProof/>
        </w:rPr>
        <w:t xml:space="preserve"> </w:t>
      </w:r>
      <w:r w:rsidR="00747151" w:rsidRPr="00596AFB">
        <w:rPr>
          <w:noProof/>
        </w:rPr>
        <w:t xml:space="preserve">for companies, </w:t>
      </w:r>
      <w:r w:rsidR="00187974" w:rsidRPr="00596AFB">
        <w:rPr>
          <w:rStyle w:val="normaltextrun"/>
          <w:noProof/>
        </w:rPr>
        <w:t>670 – for EU investors</w:t>
      </w:r>
      <w:r w:rsidRPr="00596AFB">
        <w:rPr>
          <w:noProof/>
        </w:rPr>
        <w:t>)</w:t>
      </w:r>
      <w:r w:rsidR="00187974" w:rsidRPr="00596AFB">
        <w:rPr>
          <w:noProof/>
        </w:rPr>
        <w:t>,</w:t>
      </w:r>
      <w:r w:rsidRPr="00596AFB">
        <w:rPr>
          <w:noProof/>
        </w:rPr>
        <w:t xml:space="preserve"> the high administrative or legal costs </w:t>
      </w:r>
      <w:r w:rsidR="00FC47E1" w:rsidRPr="00596AFB">
        <w:rPr>
          <w:noProof/>
        </w:rPr>
        <w:t xml:space="preserve">related to those </w:t>
      </w:r>
      <w:r w:rsidRPr="00596AFB">
        <w:rPr>
          <w:noProof/>
        </w:rPr>
        <w:t>(831</w:t>
      </w:r>
      <w:r w:rsidR="00F56866" w:rsidRPr="00596AFB">
        <w:rPr>
          <w:noProof/>
        </w:rPr>
        <w:t xml:space="preserve"> and 616 replies, respectively</w:t>
      </w:r>
      <w:r w:rsidRPr="00596AFB">
        <w:rPr>
          <w:noProof/>
        </w:rPr>
        <w:t>)</w:t>
      </w:r>
      <w:r w:rsidR="00F56866" w:rsidRPr="00596AFB">
        <w:rPr>
          <w:noProof/>
        </w:rPr>
        <w:t>, and</w:t>
      </w:r>
      <w:r w:rsidRPr="00596AFB">
        <w:rPr>
          <w:noProof/>
        </w:rPr>
        <w:t xml:space="preserve"> the mandatory involvement of intermediaries and in-person formalities when approving capital increases at general meetings (749</w:t>
      </w:r>
      <w:r w:rsidR="00F56866" w:rsidRPr="00596AFB">
        <w:rPr>
          <w:noProof/>
        </w:rPr>
        <w:t xml:space="preserve">, </w:t>
      </w:r>
      <w:r w:rsidR="002B3E3F" w:rsidRPr="00596AFB">
        <w:rPr>
          <w:rStyle w:val="normaltextrun"/>
          <w:noProof/>
        </w:rPr>
        <w:t>639</w:t>
      </w:r>
      <w:r w:rsidRPr="00596AFB">
        <w:rPr>
          <w:noProof/>
        </w:rPr>
        <w:t>). Other</w:t>
      </w:r>
      <w:r w:rsidRPr="00596AFB" w:rsidDel="004B44DF">
        <w:rPr>
          <w:noProof/>
        </w:rPr>
        <w:t xml:space="preserve"> </w:t>
      </w:r>
      <w:r w:rsidRPr="00596AFB">
        <w:rPr>
          <w:noProof/>
        </w:rPr>
        <w:t>obstacles included the absence of cross-border platforms for issuing and transferring SME and startup securities (675</w:t>
      </w:r>
      <w:r w:rsidR="001227BA" w:rsidRPr="00596AFB">
        <w:rPr>
          <w:noProof/>
        </w:rPr>
        <w:t xml:space="preserve">, </w:t>
      </w:r>
      <w:r w:rsidR="001227BA" w:rsidRPr="00596AFB">
        <w:rPr>
          <w:rStyle w:val="normaltextrun"/>
          <w:noProof/>
        </w:rPr>
        <w:t>572</w:t>
      </w:r>
      <w:r w:rsidRPr="00596AFB">
        <w:rPr>
          <w:noProof/>
        </w:rPr>
        <w:t>),</w:t>
      </w:r>
      <w:r w:rsidRPr="00596AFB" w:rsidDel="00654933">
        <w:rPr>
          <w:noProof/>
        </w:rPr>
        <w:t xml:space="preserve"> </w:t>
      </w:r>
      <w:r w:rsidRPr="00596AFB">
        <w:rPr>
          <w:noProof/>
        </w:rPr>
        <w:t>l</w:t>
      </w:r>
      <w:r w:rsidRPr="00596AFB">
        <w:rPr>
          <w:rStyle w:val="normaltextrun"/>
          <w:noProof/>
        </w:rPr>
        <w:t>egal uncertainty or lack of clarity regarding required steps of a capital increase procedure (598 replies), language and translation requirements (582</w:t>
      </w:r>
      <w:r w:rsidR="0019635D" w:rsidRPr="00596AFB">
        <w:rPr>
          <w:rStyle w:val="normaltextrun"/>
          <w:noProof/>
        </w:rPr>
        <w:t>, 521</w:t>
      </w:r>
      <w:r w:rsidRPr="00596AFB">
        <w:rPr>
          <w:rStyle w:val="normaltextrun"/>
          <w:noProof/>
        </w:rPr>
        <w:t>) and difficulties in verifying investor/shareholder identity remotely (541</w:t>
      </w:r>
      <w:r w:rsidR="0019635D" w:rsidRPr="00596AFB">
        <w:rPr>
          <w:rStyle w:val="normaltextrun"/>
          <w:noProof/>
        </w:rPr>
        <w:t>, over 450</w:t>
      </w:r>
      <w:r w:rsidRPr="00596AFB">
        <w:rPr>
          <w:rStyle w:val="normaltextrun"/>
          <w:noProof/>
        </w:rPr>
        <w:t xml:space="preserve">). Over 450 respondents agreed that other issues (procedures for foreign investors </w:t>
      </w:r>
      <w:r w:rsidR="00941E24" w:rsidRPr="00596AFB">
        <w:rPr>
          <w:rStyle w:val="normaltextrun"/>
          <w:noProof/>
        </w:rPr>
        <w:t xml:space="preserve">to </w:t>
      </w:r>
      <w:r w:rsidRPr="00596AFB">
        <w:rPr>
          <w:rStyle w:val="normaltextrun"/>
          <w:noProof/>
        </w:rPr>
        <w:t>obtai</w:t>
      </w:r>
      <w:r w:rsidR="00941E24" w:rsidRPr="00596AFB">
        <w:rPr>
          <w:rStyle w:val="normaltextrun"/>
          <w:noProof/>
        </w:rPr>
        <w:t>n</w:t>
      </w:r>
      <w:r w:rsidRPr="00596AFB">
        <w:rPr>
          <w:rStyle w:val="normaltextrun"/>
          <w:noProof/>
        </w:rPr>
        <w:t xml:space="preserve"> the TIN and lack of information about shareholders’ rights) </w:t>
      </w:r>
      <w:r w:rsidR="00206053" w:rsidRPr="00596AFB">
        <w:rPr>
          <w:rStyle w:val="normaltextrun"/>
          <w:noProof/>
        </w:rPr>
        <w:t xml:space="preserve">also </w:t>
      </w:r>
      <w:r w:rsidRPr="00596AFB">
        <w:rPr>
          <w:rStyle w:val="normaltextrun"/>
          <w:noProof/>
        </w:rPr>
        <w:t>constituted barriers for companies</w:t>
      </w:r>
      <w:r w:rsidR="00DE18F6" w:rsidRPr="00596AFB">
        <w:rPr>
          <w:rStyle w:val="normaltextrun"/>
          <w:noProof/>
        </w:rPr>
        <w:t xml:space="preserve"> and EU investors</w:t>
      </w:r>
      <w:r w:rsidRPr="00596AFB">
        <w:rPr>
          <w:rStyle w:val="normaltextrun"/>
          <w:noProof/>
        </w:rPr>
        <w:t xml:space="preserve">. </w:t>
      </w:r>
      <w:r w:rsidR="008A03CB" w:rsidRPr="00596AFB">
        <w:rPr>
          <w:rStyle w:val="normaltextrun"/>
          <w:noProof/>
        </w:rPr>
        <w:t xml:space="preserve">The top barriers </w:t>
      </w:r>
      <w:r w:rsidR="008A03CB" w:rsidRPr="00596AFB">
        <w:rPr>
          <w:rStyle w:val="normaltextrun"/>
          <w:b/>
          <w:noProof/>
        </w:rPr>
        <w:t>for non-EU investors</w:t>
      </w:r>
      <w:r w:rsidR="008A03CB" w:rsidRPr="00596AFB">
        <w:rPr>
          <w:rStyle w:val="normaltextrun"/>
          <w:noProof/>
        </w:rPr>
        <w:t xml:space="preserve"> were related to the involvement of intermediaries (652 replies), time-consuming capital increase procedures (641), related </w:t>
      </w:r>
      <w:r w:rsidR="008A03CB" w:rsidRPr="00596AFB">
        <w:rPr>
          <w:noProof/>
        </w:rPr>
        <w:t xml:space="preserve">costs (601), </w:t>
      </w:r>
      <w:r w:rsidR="008A03CB" w:rsidRPr="00596AFB">
        <w:rPr>
          <w:rStyle w:val="normaltextrun"/>
          <w:noProof/>
        </w:rPr>
        <w:t xml:space="preserve">procedures to obtaining the TIN (545), lack of cross-border platforms (538), </w:t>
      </w:r>
      <w:r w:rsidR="008A03CB" w:rsidRPr="00596AFB">
        <w:rPr>
          <w:noProof/>
        </w:rPr>
        <w:t>language and translation requirements (535) and limited access to information on shareholders’ rights for foreign investors (507)</w:t>
      </w:r>
      <w:r w:rsidR="00533E78" w:rsidRPr="00596AFB">
        <w:rPr>
          <w:noProof/>
        </w:rPr>
        <w:t>, with m</w:t>
      </w:r>
      <w:r w:rsidR="008A03CB" w:rsidRPr="00596AFB">
        <w:rPr>
          <w:rStyle w:val="normaltextrun"/>
          <w:noProof/>
        </w:rPr>
        <w:t xml:space="preserve">ore than 450 </w:t>
      </w:r>
      <w:r w:rsidR="00533E78" w:rsidRPr="00596AFB">
        <w:rPr>
          <w:rStyle w:val="normaltextrun"/>
          <w:noProof/>
        </w:rPr>
        <w:t xml:space="preserve">agreeing </w:t>
      </w:r>
      <w:r w:rsidR="008A03CB" w:rsidRPr="00596AFB">
        <w:rPr>
          <w:rStyle w:val="normaltextrun"/>
          <w:noProof/>
        </w:rPr>
        <w:t>that other issues (</w:t>
      </w:r>
      <w:r w:rsidR="008A03CB" w:rsidRPr="00596AFB">
        <w:rPr>
          <w:noProof/>
        </w:rPr>
        <w:t xml:space="preserve">legal uncertainty </w:t>
      </w:r>
      <w:r w:rsidR="00C902C7" w:rsidRPr="00596AFB">
        <w:rPr>
          <w:noProof/>
        </w:rPr>
        <w:t xml:space="preserve">about the </w:t>
      </w:r>
      <w:r w:rsidR="008A03CB" w:rsidRPr="00596AFB">
        <w:rPr>
          <w:noProof/>
        </w:rPr>
        <w:t xml:space="preserve">steps </w:t>
      </w:r>
      <w:r w:rsidR="00C902C7" w:rsidRPr="00596AFB">
        <w:rPr>
          <w:noProof/>
        </w:rPr>
        <w:t xml:space="preserve">of </w:t>
      </w:r>
      <w:r w:rsidR="008A03CB" w:rsidRPr="00596AFB">
        <w:rPr>
          <w:noProof/>
        </w:rPr>
        <w:t xml:space="preserve">a capital increase and difficulties </w:t>
      </w:r>
      <w:r w:rsidR="00C902C7" w:rsidRPr="00596AFB">
        <w:rPr>
          <w:noProof/>
        </w:rPr>
        <w:t>to</w:t>
      </w:r>
      <w:r w:rsidR="008A03CB" w:rsidRPr="00596AFB">
        <w:rPr>
          <w:noProof/>
        </w:rPr>
        <w:t xml:space="preserve"> verify shareholder identity) also constituted barriers.</w:t>
      </w:r>
    </w:p>
    <w:p w14:paraId="23F796BB" w14:textId="3FB1A821" w:rsidR="001C69F1" w:rsidRPr="007073AD" w:rsidRDefault="00C74955" w:rsidP="001C69F1">
      <w:pPr>
        <w:spacing w:after="120"/>
        <w:rPr>
          <w:noProof/>
        </w:rPr>
      </w:pPr>
      <w:r w:rsidRPr="249B2C69">
        <w:rPr>
          <w:rFonts w:eastAsia="Times New Roman"/>
          <w:noProof/>
          <w:lang w:val="en-IE"/>
        </w:rPr>
        <w:t xml:space="preserve">As regards </w:t>
      </w:r>
      <w:r w:rsidR="001C69F1" w:rsidRPr="249B2C69">
        <w:rPr>
          <w:rFonts w:eastAsia="Times New Roman"/>
          <w:noProof/>
          <w:lang w:val="en-IE"/>
        </w:rPr>
        <w:t>measures</w:t>
      </w:r>
      <w:r w:rsidR="001C69F1" w:rsidRPr="249B2C69">
        <w:rPr>
          <w:noProof/>
          <w:lang w:val="en-IE"/>
        </w:rPr>
        <w:t xml:space="preserve"> to </w:t>
      </w:r>
      <w:r w:rsidR="001C69F1" w:rsidRPr="249B2C69">
        <w:rPr>
          <w:rFonts w:eastAsia="Times New Roman"/>
          <w:b/>
          <w:noProof/>
          <w:lang w:val="en-IE"/>
        </w:rPr>
        <w:t xml:space="preserve">reduce or eliminate barriers </w:t>
      </w:r>
      <w:r w:rsidR="00FA146D" w:rsidRPr="249B2C69">
        <w:rPr>
          <w:rFonts w:eastAsia="Times New Roman"/>
          <w:b/>
          <w:noProof/>
          <w:lang w:val="en-IE"/>
        </w:rPr>
        <w:t xml:space="preserve">to </w:t>
      </w:r>
      <w:r w:rsidR="001C69F1" w:rsidRPr="249B2C69">
        <w:rPr>
          <w:rFonts w:eastAsia="Times New Roman"/>
          <w:b/>
          <w:noProof/>
          <w:lang w:val="en-IE"/>
        </w:rPr>
        <w:t>capital increase</w:t>
      </w:r>
      <w:r w:rsidR="00FA146D" w:rsidRPr="249B2C69">
        <w:rPr>
          <w:rFonts w:eastAsia="Times New Roman"/>
          <w:b/>
          <w:noProof/>
          <w:lang w:val="en-IE"/>
        </w:rPr>
        <w:t>s</w:t>
      </w:r>
      <w:r w:rsidR="001C69F1" w:rsidRPr="249B2C69">
        <w:rPr>
          <w:rFonts w:eastAsia="Times New Roman"/>
          <w:b/>
          <w:noProof/>
          <w:lang w:val="en-IE"/>
        </w:rPr>
        <w:t xml:space="preserve"> and other investments</w:t>
      </w:r>
      <w:r w:rsidR="001C69F1" w:rsidRPr="249B2C69">
        <w:rPr>
          <w:rFonts w:eastAsia="Times New Roman"/>
          <w:noProof/>
          <w:lang w:val="en-IE"/>
        </w:rPr>
        <w:t xml:space="preserve">, </w:t>
      </w:r>
      <w:r w:rsidR="00243014" w:rsidRPr="249B2C69">
        <w:rPr>
          <w:rFonts w:eastAsia="Times New Roman"/>
          <w:noProof/>
          <w:lang w:val="en-IE"/>
        </w:rPr>
        <w:t>o</w:t>
      </w:r>
      <w:r w:rsidR="001C69F1" w:rsidRPr="249B2C69">
        <w:rPr>
          <w:noProof/>
          <w:lang w:val="en-IE"/>
        </w:rPr>
        <w:t xml:space="preserve">ver 80% of respondents considered that introducing harmonised </w:t>
      </w:r>
      <w:r w:rsidR="0042604B" w:rsidRPr="249B2C69">
        <w:rPr>
          <w:noProof/>
          <w:lang w:val="en-IE"/>
        </w:rPr>
        <w:t xml:space="preserve">EU </w:t>
      </w:r>
      <w:r w:rsidR="001C69F1" w:rsidRPr="249B2C69">
        <w:rPr>
          <w:noProof/>
          <w:lang w:val="en-IE"/>
        </w:rPr>
        <w:t xml:space="preserve">procedures for capital increases (83%) and enabling </w:t>
      </w:r>
      <w:r w:rsidR="007735B2" w:rsidRPr="249B2C69">
        <w:rPr>
          <w:noProof/>
          <w:lang w:val="en-IE"/>
        </w:rPr>
        <w:t xml:space="preserve">fully online </w:t>
      </w:r>
      <w:r w:rsidR="001C69F1" w:rsidRPr="249B2C69">
        <w:rPr>
          <w:noProof/>
          <w:lang w:val="en-IE"/>
        </w:rPr>
        <w:t xml:space="preserve">capital increases, including online participation in general meetings and voting (80%) would help reduce barriers to a large or very large extent. Around three quarters agreed that barriers would be reduced to a large or very large extent by simplifying the procedure to issue </w:t>
      </w:r>
      <w:r w:rsidR="00C7487D" w:rsidRPr="249B2C69">
        <w:rPr>
          <w:noProof/>
          <w:lang w:val="en-IE"/>
        </w:rPr>
        <w:t xml:space="preserve">the </w:t>
      </w:r>
      <w:r w:rsidR="001C69F1" w:rsidRPr="249B2C69">
        <w:rPr>
          <w:noProof/>
          <w:lang w:val="en-IE"/>
        </w:rPr>
        <w:t xml:space="preserve">TIN for foreign investors (76%) and by standardised templates, </w:t>
      </w:r>
      <w:r w:rsidR="00C7487D" w:rsidRPr="249B2C69">
        <w:rPr>
          <w:noProof/>
          <w:lang w:val="en-IE"/>
        </w:rPr>
        <w:t>e.g.</w:t>
      </w:r>
      <w:r w:rsidR="001C69F1" w:rsidRPr="249B2C69">
        <w:rPr>
          <w:noProof/>
          <w:lang w:val="en-IE"/>
        </w:rPr>
        <w:t xml:space="preserve"> for a general meeting resolution </w:t>
      </w:r>
      <w:r w:rsidR="006E115B" w:rsidRPr="249B2C69">
        <w:rPr>
          <w:noProof/>
          <w:lang w:val="en-IE"/>
        </w:rPr>
        <w:t xml:space="preserve">on </w:t>
      </w:r>
      <w:r w:rsidR="001C69F1" w:rsidRPr="249B2C69">
        <w:rPr>
          <w:noProof/>
          <w:lang w:val="en-IE"/>
        </w:rPr>
        <w:t>capital increase (74%).</w:t>
      </w:r>
      <w:r w:rsidR="00A62BAE" w:rsidRPr="249B2C69">
        <w:rPr>
          <w:noProof/>
          <w:lang w:val="en-IE"/>
        </w:rPr>
        <w:t xml:space="preserve"> Investors, companies and business associations were in favour of harmonised </w:t>
      </w:r>
      <w:r w:rsidR="009550B2" w:rsidRPr="249B2C69">
        <w:rPr>
          <w:noProof/>
          <w:lang w:val="en-IE"/>
        </w:rPr>
        <w:t xml:space="preserve">capital increase rules and </w:t>
      </w:r>
      <w:r w:rsidR="00A62BAE" w:rsidRPr="249B2C69">
        <w:rPr>
          <w:noProof/>
          <w:lang w:val="en-IE"/>
        </w:rPr>
        <w:t>model templates for general meetings’ resolutions on capital increases</w:t>
      </w:r>
      <w:r w:rsidR="009550B2" w:rsidRPr="249B2C69">
        <w:rPr>
          <w:noProof/>
          <w:lang w:val="en-IE"/>
        </w:rPr>
        <w:t>; s</w:t>
      </w:r>
      <w:r w:rsidR="00A62BAE" w:rsidRPr="249B2C69">
        <w:rPr>
          <w:noProof/>
          <w:lang w:val="en-IE"/>
        </w:rPr>
        <w:t>everal business associations underlined that harmonisation should preserve flexibility for companies to adapt such documents to their specific needs, particularly regarding special rights such as pre-emption rights.</w:t>
      </w:r>
      <w:r w:rsidR="009550B2" w:rsidRPr="249B2C69">
        <w:rPr>
          <w:noProof/>
          <w:lang w:val="en-IE"/>
        </w:rPr>
        <w:t xml:space="preserve"> </w:t>
      </w:r>
    </w:p>
    <w:p w14:paraId="45D93EC8" w14:textId="0BBED479" w:rsidR="001123FF" w:rsidRDefault="00BF13AC" w:rsidP="001C69F1">
      <w:pPr>
        <w:pStyle w:val="paragraph"/>
        <w:spacing w:before="0" w:beforeAutospacing="0" w:after="120" w:afterAutospacing="0"/>
        <w:jc w:val="both"/>
        <w:textAlignment w:val="baseline"/>
        <w:rPr>
          <w:rStyle w:val="normaltextrun"/>
          <w:noProof/>
        </w:rPr>
      </w:pPr>
      <w:r>
        <w:rPr>
          <w:rStyle w:val="normaltextrun"/>
          <w:noProof/>
        </w:rPr>
        <w:t xml:space="preserve">As regards </w:t>
      </w:r>
      <w:r w:rsidR="005544AE" w:rsidRPr="009E3FAC">
        <w:rPr>
          <w:b/>
          <w:noProof/>
        </w:rPr>
        <w:t>private equity investment agreements</w:t>
      </w:r>
      <w:r w:rsidR="009E3FAC">
        <w:rPr>
          <w:b/>
          <w:noProof/>
        </w:rPr>
        <w:t>,</w:t>
      </w:r>
      <w:r w:rsidR="005544AE" w:rsidRPr="009E3FAC">
        <w:rPr>
          <w:b/>
          <w:noProof/>
        </w:rPr>
        <w:t xml:space="preserve"> </w:t>
      </w:r>
      <w:r w:rsidR="0078387C" w:rsidRPr="009E3FAC">
        <w:rPr>
          <w:b/>
          <w:noProof/>
        </w:rPr>
        <w:t>such as the US SAFEs or the French BSA AIR,</w:t>
      </w:r>
      <w:r w:rsidR="0078387C">
        <w:rPr>
          <w:bCs/>
          <w:noProof/>
        </w:rPr>
        <w:t xml:space="preserve"> </w:t>
      </w:r>
      <w:r w:rsidR="009E3FAC">
        <w:rPr>
          <w:bCs/>
          <w:noProof/>
        </w:rPr>
        <w:t xml:space="preserve">65% </w:t>
      </w:r>
      <w:r w:rsidR="009E3FAC" w:rsidRPr="007557DE">
        <w:rPr>
          <w:bCs/>
          <w:noProof/>
        </w:rPr>
        <w:t>of respondents</w:t>
      </w:r>
      <w:r w:rsidR="009E3FAC">
        <w:rPr>
          <w:bCs/>
          <w:noProof/>
        </w:rPr>
        <w:t xml:space="preserve"> agreed</w:t>
      </w:r>
      <w:r w:rsidR="009E3FAC" w:rsidRPr="007557DE">
        <w:rPr>
          <w:bCs/>
          <w:noProof/>
        </w:rPr>
        <w:t xml:space="preserve"> </w:t>
      </w:r>
      <w:r w:rsidR="009E3FAC">
        <w:rPr>
          <w:bCs/>
          <w:noProof/>
        </w:rPr>
        <w:t xml:space="preserve">that </w:t>
      </w:r>
      <w:r w:rsidR="009E3FAC" w:rsidRPr="00FF0838">
        <w:rPr>
          <w:bCs/>
          <w:noProof/>
        </w:rPr>
        <w:t>directors of 28</w:t>
      </w:r>
      <w:r w:rsidR="009E3FAC" w:rsidRPr="00264B95">
        <w:rPr>
          <w:noProof/>
          <w:vertAlign w:val="superscript"/>
        </w:rPr>
        <w:t>th</w:t>
      </w:r>
      <w:r w:rsidR="009E3FAC" w:rsidRPr="00FF0838">
        <w:rPr>
          <w:bCs/>
          <w:noProof/>
        </w:rPr>
        <w:t xml:space="preserve"> regime companies should be authorised </w:t>
      </w:r>
      <w:r w:rsidR="00CC7C4F" w:rsidRPr="00CC7C4F">
        <w:rPr>
          <w:bCs/>
          <w:iCs/>
          <w:noProof/>
        </w:rPr>
        <w:t>- either by the general meeting of shareholders or through the articles of association -</w:t>
      </w:r>
      <w:r w:rsidR="00CC7C4F" w:rsidRPr="00810582">
        <w:rPr>
          <w:b/>
          <w:i/>
          <w:noProof/>
        </w:rPr>
        <w:t xml:space="preserve"> </w:t>
      </w:r>
      <w:r w:rsidR="009E3FAC" w:rsidRPr="00FF0838">
        <w:rPr>
          <w:bCs/>
          <w:noProof/>
        </w:rPr>
        <w:t>to negotiate and implemen</w:t>
      </w:r>
      <w:r w:rsidR="009E3FAC">
        <w:rPr>
          <w:bCs/>
          <w:noProof/>
        </w:rPr>
        <w:t>t those</w:t>
      </w:r>
      <w:r w:rsidR="00AA3296">
        <w:rPr>
          <w:bCs/>
          <w:noProof/>
        </w:rPr>
        <w:t xml:space="preserve">; </w:t>
      </w:r>
      <w:r w:rsidR="0059230A">
        <w:rPr>
          <w:bCs/>
          <w:noProof/>
        </w:rPr>
        <w:t xml:space="preserve">14% considered that this should be possible under certain conditions and a fifth had no opinion or did not know. </w:t>
      </w:r>
      <w:r w:rsidR="00BF0BA7" w:rsidRPr="00DA5A4A">
        <w:rPr>
          <w:noProof/>
          <w:lang w:eastAsia="ja-JP"/>
        </w:rPr>
        <w:t xml:space="preserve">The majority of respondents who provided additional </w:t>
      </w:r>
      <w:r w:rsidR="002B1664">
        <w:rPr>
          <w:noProof/>
          <w:lang w:eastAsia="ja-JP"/>
        </w:rPr>
        <w:t>comments</w:t>
      </w:r>
      <w:r w:rsidR="00BF0BA7" w:rsidRPr="00DA5A4A">
        <w:rPr>
          <w:noProof/>
          <w:lang w:eastAsia="ja-JP"/>
        </w:rPr>
        <w:t>, including b</w:t>
      </w:r>
      <w:r w:rsidR="00BF0BA7" w:rsidRPr="00813CFC">
        <w:rPr>
          <w:noProof/>
          <w:lang w:eastAsia="ja-JP"/>
        </w:rPr>
        <w:t>usiness associations</w:t>
      </w:r>
      <w:r w:rsidR="00BF0BA7" w:rsidRPr="00DA5A4A">
        <w:rPr>
          <w:noProof/>
          <w:lang w:eastAsia="ja-JP"/>
        </w:rPr>
        <w:t>,</w:t>
      </w:r>
      <w:r w:rsidR="00BF0BA7" w:rsidRPr="00DA5A4A" w:rsidDel="00DA5A4A">
        <w:rPr>
          <w:noProof/>
          <w:lang w:eastAsia="ja-JP"/>
        </w:rPr>
        <w:t xml:space="preserve"> </w:t>
      </w:r>
      <w:r w:rsidR="00BF0BA7" w:rsidRPr="00DA5A4A">
        <w:rPr>
          <w:noProof/>
          <w:lang w:eastAsia="ja-JP"/>
        </w:rPr>
        <w:t xml:space="preserve">companies and citizens (mainly founders and investors), </w:t>
      </w:r>
      <w:r w:rsidR="00A73995">
        <w:rPr>
          <w:noProof/>
          <w:lang w:eastAsia="ja-JP"/>
        </w:rPr>
        <w:t xml:space="preserve">were in favour of </w:t>
      </w:r>
      <w:r w:rsidR="00BF0BA7" w:rsidRPr="00DA5A4A">
        <w:rPr>
          <w:noProof/>
          <w:lang w:eastAsia="ja-JP"/>
        </w:rPr>
        <w:t xml:space="preserve">introducing a European version of the US SAFE agreement </w:t>
      </w:r>
      <w:r w:rsidR="00E319E1">
        <w:rPr>
          <w:noProof/>
          <w:lang w:eastAsia="ja-JP"/>
        </w:rPr>
        <w:t>and m</w:t>
      </w:r>
      <w:r w:rsidR="00BF0BA7" w:rsidRPr="000B56B7">
        <w:rPr>
          <w:bCs/>
          <w:noProof/>
          <w:lang w:eastAsia="ja-JP"/>
        </w:rPr>
        <w:t xml:space="preserve">ost mentioned benefits </w:t>
      </w:r>
      <w:r w:rsidR="00636679">
        <w:rPr>
          <w:bCs/>
          <w:noProof/>
          <w:lang w:eastAsia="ja-JP"/>
        </w:rPr>
        <w:t xml:space="preserve">from such </w:t>
      </w:r>
      <w:r w:rsidR="00BF0BA7" w:rsidRPr="000B56B7">
        <w:rPr>
          <w:bCs/>
          <w:noProof/>
          <w:lang w:eastAsia="ja-JP"/>
        </w:rPr>
        <w:t xml:space="preserve">agreements, including </w:t>
      </w:r>
      <w:r w:rsidR="00BF0BA7">
        <w:rPr>
          <w:bCs/>
          <w:noProof/>
          <w:lang w:eastAsia="ja-JP"/>
        </w:rPr>
        <w:t xml:space="preserve">that they would </w:t>
      </w:r>
      <w:r w:rsidR="00BF0BA7" w:rsidRPr="000B56B7">
        <w:rPr>
          <w:bCs/>
          <w:noProof/>
          <w:lang w:eastAsia="ja-JP"/>
        </w:rPr>
        <w:t>facilitat</w:t>
      </w:r>
      <w:r w:rsidR="00BF0BA7">
        <w:rPr>
          <w:bCs/>
          <w:noProof/>
          <w:lang w:eastAsia="ja-JP"/>
        </w:rPr>
        <w:t>e</w:t>
      </w:r>
      <w:r w:rsidR="00BF0BA7" w:rsidRPr="000B56B7">
        <w:rPr>
          <w:bCs/>
          <w:noProof/>
          <w:lang w:eastAsia="ja-JP"/>
        </w:rPr>
        <w:t xml:space="preserve"> innovation driven quick and flexible early-stage fundraising and reduc</w:t>
      </w:r>
      <w:r w:rsidR="00BF0BA7">
        <w:rPr>
          <w:bCs/>
          <w:noProof/>
          <w:lang w:eastAsia="ja-JP"/>
        </w:rPr>
        <w:t>e</w:t>
      </w:r>
      <w:r w:rsidR="00BF0BA7" w:rsidRPr="000B56B7">
        <w:rPr>
          <w:bCs/>
          <w:noProof/>
          <w:lang w:eastAsia="ja-JP"/>
        </w:rPr>
        <w:t xml:space="preserve"> the related red-tape.</w:t>
      </w:r>
      <w:r w:rsidR="00714483">
        <w:rPr>
          <w:bCs/>
          <w:noProof/>
          <w:lang w:eastAsia="ja-JP"/>
        </w:rPr>
        <w:t xml:space="preserve"> </w:t>
      </w:r>
      <w:r w:rsidR="00714483" w:rsidRPr="000B56B7">
        <w:rPr>
          <w:bCs/>
          <w:noProof/>
          <w:lang w:eastAsia="ja-JP"/>
        </w:rPr>
        <w:t xml:space="preserve">Some stated that directors should be empowered to negotiate and sign SAFE-like agreements as long as they are authorized by shareholders or </w:t>
      </w:r>
      <w:r w:rsidR="00BE496C">
        <w:rPr>
          <w:bCs/>
          <w:noProof/>
          <w:lang w:eastAsia="ja-JP"/>
        </w:rPr>
        <w:t>that</w:t>
      </w:r>
      <w:r w:rsidR="00714483" w:rsidRPr="000B56B7">
        <w:rPr>
          <w:bCs/>
          <w:noProof/>
          <w:lang w:eastAsia="ja-JP"/>
        </w:rPr>
        <w:t xml:space="preserve"> is clear </w:t>
      </w:r>
      <w:r w:rsidR="007D30EF">
        <w:rPr>
          <w:bCs/>
          <w:noProof/>
          <w:lang w:eastAsia="ja-JP"/>
        </w:rPr>
        <w:t xml:space="preserve">in </w:t>
      </w:r>
      <w:r w:rsidR="00714483" w:rsidRPr="000B56B7">
        <w:rPr>
          <w:bCs/>
          <w:noProof/>
          <w:lang w:eastAsia="ja-JP"/>
        </w:rPr>
        <w:t>the articles of association to ensure transparent oversight, accountability and prevent the potential misuse of 28</w:t>
      </w:r>
      <w:r w:rsidR="00714483" w:rsidRPr="00264B95">
        <w:rPr>
          <w:noProof/>
          <w:vertAlign w:val="superscript"/>
          <w:lang w:eastAsia="ja-JP"/>
        </w:rPr>
        <w:t>th</w:t>
      </w:r>
      <w:r w:rsidR="00714483" w:rsidRPr="000B56B7">
        <w:rPr>
          <w:bCs/>
          <w:noProof/>
          <w:lang w:eastAsia="ja-JP"/>
        </w:rPr>
        <w:t xml:space="preserve"> regime.</w:t>
      </w:r>
      <w:r w:rsidR="00090D1E" w:rsidRPr="00090D1E">
        <w:rPr>
          <w:bCs/>
          <w:noProof/>
          <w:lang w:eastAsia="ja-JP"/>
        </w:rPr>
        <w:t xml:space="preserve"> </w:t>
      </w:r>
      <w:r w:rsidR="00090D1E" w:rsidRPr="000B56B7">
        <w:rPr>
          <w:bCs/>
          <w:noProof/>
          <w:lang w:eastAsia="ja-JP"/>
        </w:rPr>
        <w:t>A small number of public authorities and notary associations suggested that SAFE agreements should be subject to preventive control and allowed only if national law does so.</w:t>
      </w:r>
      <w:r w:rsidR="00090D1E">
        <w:rPr>
          <w:bCs/>
          <w:noProof/>
          <w:lang w:eastAsia="ja-JP"/>
        </w:rPr>
        <w:t xml:space="preserve"> </w:t>
      </w:r>
    </w:p>
    <w:p w14:paraId="04501979" w14:textId="680ADB45" w:rsidR="00B2128D" w:rsidRPr="007073AD" w:rsidRDefault="00AD193D" w:rsidP="00B2128D">
      <w:pPr>
        <w:spacing w:after="120"/>
        <w:rPr>
          <w:rFonts w:eastAsia="Times New Roman"/>
          <w:noProof/>
          <w:lang w:val="en-IE" w:eastAsia="ja-JP"/>
        </w:rPr>
      </w:pPr>
      <w:r w:rsidRPr="249B2C69">
        <w:rPr>
          <w:rFonts w:eastAsia="Times New Roman"/>
          <w:noProof/>
          <w:lang w:val="en-IE" w:eastAsia="ja-JP"/>
        </w:rPr>
        <w:t>More than 72% of respondents agreed that an optional standardised model/template for such private equity investment agreements should be developed for 28</w:t>
      </w:r>
      <w:r w:rsidRPr="00264B95">
        <w:rPr>
          <w:rFonts w:eastAsia="Times New Roman"/>
          <w:noProof/>
          <w:vertAlign w:val="superscript"/>
          <w:lang w:val="en-IE" w:eastAsia="ja-JP"/>
        </w:rPr>
        <w:t>th</w:t>
      </w:r>
      <w:r w:rsidRPr="249B2C69">
        <w:rPr>
          <w:rFonts w:eastAsia="Times New Roman"/>
          <w:noProof/>
          <w:lang w:val="en-IE" w:eastAsia="ja-JP"/>
        </w:rPr>
        <w:t xml:space="preserve"> regime companies to facilitate their early-stage financing</w:t>
      </w:r>
      <w:r w:rsidR="0067700E" w:rsidRPr="249B2C69">
        <w:rPr>
          <w:rFonts w:eastAsia="Times New Roman"/>
          <w:noProof/>
          <w:lang w:val="en-IE" w:eastAsia="ja-JP"/>
        </w:rPr>
        <w:t>;</w:t>
      </w:r>
      <w:r w:rsidRPr="249B2C69">
        <w:rPr>
          <w:rFonts w:eastAsia="Times New Roman"/>
          <w:noProof/>
          <w:lang w:val="en-IE" w:eastAsia="ja-JP"/>
        </w:rPr>
        <w:t xml:space="preserve"> </w:t>
      </w:r>
      <w:r w:rsidRPr="249B2C69">
        <w:rPr>
          <w:noProof/>
          <w:lang w:val="en-IE"/>
        </w:rPr>
        <w:t xml:space="preserve">9% </w:t>
      </w:r>
      <w:r w:rsidR="0067700E" w:rsidRPr="249B2C69">
        <w:rPr>
          <w:noProof/>
          <w:lang w:val="en-IE"/>
        </w:rPr>
        <w:t xml:space="preserve">said </w:t>
      </w:r>
      <w:r w:rsidRPr="249B2C69">
        <w:rPr>
          <w:noProof/>
          <w:lang w:val="en-IE"/>
        </w:rPr>
        <w:t>that this should be developed under certain circumstances and almost 16% had no opinion.</w:t>
      </w:r>
      <w:r w:rsidR="00B2128D" w:rsidRPr="249B2C69">
        <w:rPr>
          <w:rFonts w:eastAsia="Times New Roman"/>
          <w:noProof/>
          <w:lang w:val="en-IE" w:eastAsia="ja-JP"/>
        </w:rPr>
        <w:t xml:space="preserve"> The majority of respondents (public authorities, business associations, companies and citizens (mainly founders and investors)) who </w:t>
      </w:r>
      <w:r w:rsidR="00863856" w:rsidRPr="249B2C69">
        <w:rPr>
          <w:rFonts w:eastAsia="Times New Roman"/>
          <w:noProof/>
          <w:lang w:val="en-IE" w:eastAsia="ja-JP"/>
        </w:rPr>
        <w:t xml:space="preserve">gave </w:t>
      </w:r>
      <w:r w:rsidR="00B2128D" w:rsidRPr="249B2C69">
        <w:rPr>
          <w:rFonts w:eastAsia="Times New Roman"/>
          <w:noProof/>
          <w:lang w:val="en-IE" w:eastAsia="ja-JP"/>
        </w:rPr>
        <w:t xml:space="preserve">additional comments, </w:t>
      </w:r>
      <w:r w:rsidR="002D136C" w:rsidRPr="249B2C69">
        <w:rPr>
          <w:rFonts w:eastAsia="Times New Roman"/>
          <w:noProof/>
          <w:lang w:val="en-IE" w:eastAsia="ja-JP"/>
        </w:rPr>
        <w:t xml:space="preserve">through </w:t>
      </w:r>
      <w:r w:rsidR="00B2128D" w:rsidRPr="249B2C69">
        <w:rPr>
          <w:rFonts w:eastAsia="Times New Roman"/>
          <w:noProof/>
          <w:lang w:val="en-IE" w:eastAsia="ja-JP"/>
        </w:rPr>
        <w:t xml:space="preserve">that a </w:t>
      </w:r>
      <w:r w:rsidR="00D3185D" w:rsidRPr="249B2C69">
        <w:rPr>
          <w:rFonts w:eastAsia="Times New Roman"/>
          <w:noProof/>
          <w:lang w:val="en-IE" w:eastAsia="ja-JP"/>
        </w:rPr>
        <w:t>standardi</w:t>
      </w:r>
      <w:r w:rsidR="00D3185D">
        <w:rPr>
          <w:rFonts w:eastAsia="Times New Roman"/>
          <w:noProof/>
          <w:lang w:val="en-IE" w:eastAsia="ja-JP"/>
        </w:rPr>
        <w:t>s</w:t>
      </w:r>
      <w:r w:rsidR="00D3185D" w:rsidRPr="249B2C69">
        <w:rPr>
          <w:rFonts w:eastAsia="Times New Roman"/>
          <w:noProof/>
          <w:lang w:val="en-IE" w:eastAsia="ja-JP"/>
        </w:rPr>
        <w:t>ed</w:t>
      </w:r>
      <w:r w:rsidR="00B2128D" w:rsidRPr="249B2C69">
        <w:rPr>
          <w:rFonts w:eastAsia="Times New Roman"/>
          <w:noProof/>
          <w:lang w:val="en-IE" w:eastAsia="ja-JP"/>
        </w:rPr>
        <w:t xml:space="preserve">, optional </w:t>
      </w:r>
      <w:r w:rsidR="000C114F" w:rsidRPr="249B2C69">
        <w:rPr>
          <w:rFonts w:eastAsia="Times New Roman"/>
          <w:noProof/>
          <w:lang w:val="en-IE" w:eastAsia="ja-JP"/>
        </w:rPr>
        <w:t xml:space="preserve">EU </w:t>
      </w:r>
      <w:r w:rsidR="00B2128D" w:rsidRPr="249B2C69">
        <w:rPr>
          <w:rFonts w:eastAsia="Times New Roman"/>
          <w:noProof/>
          <w:lang w:val="en-IE" w:eastAsia="ja-JP"/>
        </w:rPr>
        <w:t>template</w:t>
      </w:r>
      <w:r w:rsidR="000C114F" w:rsidRPr="249B2C69">
        <w:rPr>
          <w:rFonts w:eastAsia="Times New Roman"/>
          <w:noProof/>
          <w:lang w:val="en-IE" w:eastAsia="ja-JP"/>
        </w:rPr>
        <w:t>s</w:t>
      </w:r>
      <w:r w:rsidR="00B2128D" w:rsidRPr="249B2C69">
        <w:rPr>
          <w:rFonts w:eastAsia="Times New Roman"/>
          <w:noProof/>
          <w:lang w:val="en-IE" w:eastAsia="ja-JP"/>
        </w:rPr>
        <w:t xml:space="preserve"> could reduce legal complexity, increase transparency, build trust and confidence among investors and founders, and accelerate cross-border investments, especially for early-stage startups. A few public authorities, founders, companies and business associations suggested that the development of </w:t>
      </w:r>
      <w:r w:rsidR="00D16CAA" w:rsidRPr="249B2C69">
        <w:rPr>
          <w:rFonts w:eastAsia="Times New Roman"/>
          <w:noProof/>
          <w:lang w:val="en-IE" w:eastAsia="ja-JP"/>
        </w:rPr>
        <w:t xml:space="preserve">such a </w:t>
      </w:r>
      <w:r w:rsidR="00B2128D" w:rsidRPr="249B2C69">
        <w:rPr>
          <w:rFonts w:eastAsia="Times New Roman"/>
          <w:noProof/>
          <w:lang w:val="en-IE" w:eastAsia="ja-JP"/>
        </w:rPr>
        <w:t xml:space="preserve">template should be </w:t>
      </w:r>
      <w:r w:rsidR="00D16CAA" w:rsidRPr="249B2C69">
        <w:rPr>
          <w:rFonts w:eastAsia="Times New Roman"/>
          <w:noProof/>
          <w:lang w:val="en-IE" w:eastAsia="ja-JP"/>
        </w:rPr>
        <w:t xml:space="preserve">rather </w:t>
      </w:r>
      <w:r w:rsidR="00B2128D" w:rsidRPr="249B2C69">
        <w:rPr>
          <w:rFonts w:eastAsia="Times New Roman"/>
          <w:noProof/>
          <w:lang w:val="en-IE" w:eastAsia="ja-JP"/>
        </w:rPr>
        <w:t xml:space="preserve">market-driven to ensure it is well-suited to the needs of investors and entrepreneurs. Notaries’ associations considered that no template was needed as these need to be tailor-made and legal advice </w:t>
      </w:r>
      <w:r w:rsidR="004476EC" w:rsidRPr="249B2C69">
        <w:rPr>
          <w:rFonts w:eastAsia="Times New Roman"/>
          <w:noProof/>
          <w:lang w:val="en-IE" w:eastAsia="ja-JP"/>
        </w:rPr>
        <w:t>was needed</w:t>
      </w:r>
      <w:r w:rsidR="00B2128D" w:rsidRPr="249B2C69">
        <w:rPr>
          <w:rFonts w:eastAsia="Times New Roman"/>
          <w:noProof/>
          <w:lang w:val="en-IE" w:eastAsia="ja-JP"/>
        </w:rPr>
        <w:t>.</w:t>
      </w:r>
    </w:p>
    <w:p w14:paraId="2F3BCC70" w14:textId="22B23AAB" w:rsidR="001123FF" w:rsidRDefault="004D3693" w:rsidP="00B2128D">
      <w:pPr>
        <w:spacing w:after="120"/>
        <w:rPr>
          <w:noProof/>
        </w:rPr>
      </w:pPr>
      <w:r w:rsidRPr="00F97112">
        <w:rPr>
          <w:rStyle w:val="normaltextrun"/>
          <w:noProof/>
          <w:color w:val="000000"/>
          <w:shd w:val="clear" w:color="auto" w:fill="FFFFFF"/>
        </w:rPr>
        <w:t>83% of respondents</w:t>
      </w:r>
      <w:r w:rsidR="00A44DCA">
        <w:rPr>
          <w:rStyle w:val="normaltextrun"/>
          <w:noProof/>
          <w:color w:val="000000"/>
          <w:shd w:val="clear" w:color="auto" w:fill="FFFFFF"/>
        </w:rPr>
        <w:t xml:space="preserve"> to the consultation</w:t>
      </w:r>
      <w:r w:rsidRPr="00F97112">
        <w:rPr>
          <w:rStyle w:val="normaltextrun"/>
          <w:noProof/>
          <w:color w:val="000000"/>
          <w:shd w:val="clear" w:color="auto" w:fill="FFFFFF"/>
        </w:rPr>
        <w:t xml:space="preserve"> </w:t>
      </w:r>
      <w:r w:rsidR="00FC6A48" w:rsidRPr="00F97112">
        <w:rPr>
          <w:rStyle w:val="normaltextrun"/>
          <w:noProof/>
          <w:color w:val="000000"/>
          <w:shd w:val="clear" w:color="auto" w:fill="FFFFFF"/>
        </w:rPr>
        <w:t xml:space="preserve">(across all </w:t>
      </w:r>
      <w:r w:rsidR="00FC6A48" w:rsidRPr="007073AD">
        <w:rPr>
          <w:noProof/>
        </w:rPr>
        <w:t>stakeholders’ groups, except trade unions</w:t>
      </w:r>
      <w:r w:rsidR="00FC6A48" w:rsidRPr="00F97112">
        <w:rPr>
          <w:rStyle w:val="normaltextrun"/>
          <w:noProof/>
          <w:color w:val="000000"/>
          <w:shd w:val="clear" w:color="auto" w:fill="FFFFFF"/>
        </w:rPr>
        <w:t xml:space="preserve">) </w:t>
      </w:r>
      <w:r w:rsidRPr="00F97112">
        <w:rPr>
          <w:rStyle w:val="normaltextrun"/>
          <w:noProof/>
          <w:color w:val="000000"/>
          <w:shd w:val="clear" w:color="auto" w:fill="FFFFFF"/>
        </w:rPr>
        <w:t xml:space="preserve">also supported </w:t>
      </w:r>
      <w:r w:rsidRPr="00F97112">
        <w:rPr>
          <w:rStyle w:val="normaltextrun"/>
          <w:b/>
          <w:noProof/>
          <w:color w:val="000000"/>
          <w:shd w:val="clear" w:color="auto" w:fill="FFFFFF"/>
        </w:rPr>
        <w:t xml:space="preserve">the </w:t>
      </w:r>
      <w:r w:rsidRPr="007073AD">
        <w:rPr>
          <w:b/>
          <w:noProof/>
        </w:rPr>
        <w:t>issuance of multiple classes of shares</w:t>
      </w:r>
      <w:r w:rsidRPr="007073AD">
        <w:rPr>
          <w:noProof/>
        </w:rPr>
        <w:t xml:space="preserve"> by 28</w:t>
      </w:r>
      <w:r w:rsidRPr="007073AD">
        <w:rPr>
          <w:noProof/>
          <w:vertAlign w:val="superscript"/>
        </w:rPr>
        <w:t>th</w:t>
      </w:r>
      <w:r w:rsidRPr="007073AD">
        <w:rPr>
          <w:noProof/>
        </w:rPr>
        <w:t xml:space="preserve"> regime companies; </w:t>
      </w:r>
      <w:r>
        <w:rPr>
          <w:bCs/>
          <w:noProof/>
        </w:rPr>
        <w:t>6</w:t>
      </w:r>
      <w:r w:rsidRPr="007073AD">
        <w:rPr>
          <w:noProof/>
        </w:rPr>
        <w:t xml:space="preserve">% considered that this should be possible under certain circumstances and 9% had no opinion. </w:t>
      </w:r>
      <w:r w:rsidR="00A45662" w:rsidRPr="007073AD">
        <w:rPr>
          <w:noProof/>
        </w:rPr>
        <w:t xml:space="preserve">A few </w:t>
      </w:r>
      <w:r w:rsidR="00C83639" w:rsidRPr="007073AD">
        <w:rPr>
          <w:noProof/>
        </w:rPr>
        <w:t xml:space="preserve">trade unions </w:t>
      </w:r>
      <w:r w:rsidR="00A45662" w:rsidRPr="007073AD">
        <w:rPr>
          <w:noProof/>
        </w:rPr>
        <w:t xml:space="preserve">provided additional comments </w:t>
      </w:r>
      <w:r w:rsidR="00C83639" w:rsidRPr="007073AD">
        <w:rPr>
          <w:noProof/>
        </w:rPr>
        <w:t>focus</w:t>
      </w:r>
      <w:r w:rsidR="00A45662" w:rsidRPr="007073AD">
        <w:rPr>
          <w:noProof/>
        </w:rPr>
        <w:t>ing</w:t>
      </w:r>
      <w:r w:rsidR="00C83639" w:rsidRPr="007073AD">
        <w:rPr>
          <w:noProof/>
        </w:rPr>
        <w:t xml:space="preserve"> on </w:t>
      </w:r>
      <w:r w:rsidR="00A45662" w:rsidRPr="007073AD">
        <w:rPr>
          <w:noProof/>
        </w:rPr>
        <w:t xml:space="preserve">only </w:t>
      </w:r>
      <w:r w:rsidR="00C83639" w:rsidRPr="007073AD">
        <w:rPr>
          <w:noProof/>
        </w:rPr>
        <w:t xml:space="preserve">one aspect of multiple voting shares, i.e. their use in </w:t>
      </w:r>
      <w:r w:rsidR="00240542" w:rsidRPr="007073AD">
        <w:rPr>
          <w:noProof/>
        </w:rPr>
        <w:t>stock-option based</w:t>
      </w:r>
      <w:r w:rsidR="00C83639" w:rsidRPr="007073AD">
        <w:rPr>
          <w:noProof/>
        </w:rPr>
        <w:t xml:space="preserve"> employee stock </w:t>
      </w:r>
      <w:r w:rsidR="00B07BFE" w:rsidRPr="007073AD">
        <w:rPr>
          <w:noProof/>
        </w:rPr>
        <w:t>ownership plans</w:t>
      </w:r>
      <w:r w:rsidR="00C83639" w:rsidRPr="007073AD">
        <w:rPr>
          <w:noProof/>
        </w:rPr>
        <w:t xml:space="preserve"> and </w:t>
      </w:r>
      <w:r w:rsidR="00A45662" w:rsidRPr="007073AD">
        <w:rPr>
          <w:noProof/>
        </w:rPr>
        <w:t xml:space="preserve">said </w:t>
      </w:r>
      <w:r w:rsidR="00C83639" w:rsidRPr="007073AD">
        <w:rPr>
          <w:noProof/>
        </w:rPr>
        <w:t xml:space="preserve">that </w:t>
      </w:r>
      <w:r w:rsidR="00B07BFE" w:rsidRPr="007073AD">
        <w:rPr>
          <w:noProof/>
        </w:rPr>
        <w:t>such plans</w:t>
      </w:r>
      <w:r w:rsidR="00C83639" w:rsidRPr="007073AD">
        <w:rPr>
          <w:noProof/>
        </w:rPr>
        <w:t xml:space="preserve"> can attract talent, but they carry high risks for employees, lead to tax losses for Member States and should be subject to uniform rules and cannot replace remuneration.</w:t>
      </w:r>
      <w:r w:rsidR="0084561D" w:rsidRPr="007073AD">
        <w:rPr>
          <w:noProof/>
        </w:rPr>
        <w:t xml:space="preserve"> The respondents also provided feedback on </w:t>
      </w:r>
      <w:r w:rsidR="0084561D" w:rsidRPr="007073AD">
        <w:rPr>
          <w:b/>
          <w:noProof/>
        </w:rPr>
        <w:t>types of share classes which could be most relevant or beneficial</w:t>
      </w:r>
      <w:r w:rsidR="0084561D" w:rsidRPr="007073AD">
        <w:rPr>
          <w:noProof/>
        </w:rPr>
        <w:t xml:space="preserve">, with </w:t>
      </w:r>
      <w:r w:rsidR="00CD2D0F" w:rsidRPr="007073AD">
        <w:rPr>
          <w:noProof/>
        </w:rPr>
        <w:t>public authorities mention</w:t>
      </w:r>
      <w:r w:rsidR="000C68C8" w:rsidRPr="007073AD">
        <w:rPr>
          <w:noProof/>
        </w:rPr>
        <w:t>ing</w:t>
      </w:r>
      <w:r w:rsidR="00CD2D0F" w:rsidRPr="007073AD">
        <w:rPr>
          <w:noProof/>
        </w:rPr>
        <w:t xml:space="preserve"> </w:t>
      </w:r>
      <w:r w:rsidR="00CD2D0F">
        <w:rPr>
          <w:noProof/>
        </w:rPr>
        <w:t xml:space="preserve">those </w:t>
      </w:r>
      <w:r w:rsidR="00CD2D0F" w:rsidRPr="00053B4B">
        <w:rPr>
          <w:noProof/>
        </w:rPr>
        <w:t>with limited</w:t>
      </w:r>
      <w:r w:rsidR="00CD2D0F">
        <w:rPr>
          <w:noProof/>
        </w:rPr>
        <w:t xml:space="preserve"> or no</w:t>
      </w:r>
      <w:r w:rsidR="00CD2D0F" w:rsidRPr="00053B4B">
        <w:rPr>
          <w:noProof/>
        </w:rPr>
        <w:t xml:space="preserve"> voting rights, dividend preferences, </w:t>
      </w:r>
      <w:r w:rsidR="00CD2D0F">
        <w:rPr>
          <w:noProof/>
        </w:rPr>
        <w:t xml:space="preserve">liquidation preferences </w:t>
      </w:r>
      <w:r w:rsidR="00CD2D0F" w:rsidRPr="00053B4B">
        <w:rPr>
          <w:noProof/>
        </w:rPr>
        <w:t>and flexible governance privileges</w:t>
      </w:r>
      <w:r w:rsidR="00CD2D0F">
        <w:rPr>
          <w:noProof/>
        </w:rPr>
        <w:t xml:space="preserve"> as they could </w:t>
      </w:r>
      <w:r w:rsidR="00CD2D0F" w:rsidRPr="008B6D6F">
        <w:rPr>
          <w:noProof/>
        </w:rPr>
        <w:t>support diverse investor profiles</w:t>
      </w:r>
      <w:r w:rsidR="00881294">
        <w:rPr>
          <w:noProof/>
        </w:rPr>
        <w:t xml:space="preserve"> and</w:t>
      </w:r>
      <w:r w:rsidR="00CD2D0F" w:rsidRPr="008B6D6F">
        <w:rPr>
          <w:noProof/>
        </w:rPr>
        <w:t xml:space="preserve"> simplify cross-border fundraising</w:t>
      </w:r>
      <w:r w:rsidR="00881294">
        <w:rPr>
          <w:noProof/>
        </w:rPr>
        <w:t>;</w:t>
      </w:r>
      <w:r w:rsidR="00CD2D0F" w:rsidRPr="008B6D6F">
        <w:rPr>
          <w:noProof/>
        </w:rPr>
        <w:t xml:space="preserve"> </w:t>
      </w:r>
      <w:r w:rsidR="00B60756">
        <w:rPr>
          <w:noProof/>
        </w:rPr>
        <w:t>and b</w:t>
      </w:r>
      <w:r w:rsidR="00B60756" w:rsidRPr="006E4D1C">
        <w:rPr>
          <w:noProof/>
        </w:rPr>
        <w:t xml:space="preserve">usiness associations, companies and </w:t>
      </w:r>
      <w:r w:rsidR="00B60756">
        <w:rPr>
          <w:bCs/>
          <w:noProof/>
        </w:rPr>
        <w:t>citizens (mainly</w:t>
      </w:r>
      <w:r w:rsidR="00B60756">
        <w:rPr>
          <w:noProof/>
        </w:rPr>
        <w:t xml:space="preserve"> </w:t>
      </w:r>
      <w:r w:rsidR="00B60756" w:rsidRPr="006E4D1C">
        <w:rPr>
          <w:noProof/>
        </w:rPr>
        <w:t>founders</w:t>
      </w:r>
      <w:r w:rsidR="00B60756">
        <w:rPr>
          <w:noProof/>
        </w:rPr>
        <w:t xml:space="preserve"> </w:t>
      </w:r>
      <w:r w:rsidR="00B60756">
        <w:rPr>
          <w:bCs/>
          <w:noProof/>
        </w:rPr>
        <w:t>and investors)</w:t>
      </w:r>
      <w:r w:rsidR="00B60756" w:rsidRPr="00B6049C">
        <w:rPr>
          <w:bCs/>
          <w:noProof/>
        </w:rPr>
        <w:t xml:space="preserve"> </w:t>
      </w:r>
      <w:r w:rsidR="00B60756" w:rsidRPr="00862F05">
        <w:rPr>
          <w:noProof/>
        </w:rPr>
        <w:t xml:space="preserve">emphasized </w:t>
      </w:r>
      <w:r w:rsidR="00B60756">
        <w:rPr>
          <w:noProof/>
        </w:rPr>
        <w:t xml:space="preserve">that there should be </w:t>
      </w:r>
      <w:r w:rsidR="00B60756" w:rsidRPr="00862F05">
        <w:rPr>
          <w:noProof/>
        </w:rPr>
        <w:t xml:space="preserve">flexibility to issue a variety of share classes, </w:t>
      </w:r>
      <w:r w:rsidR="00B60756">
        <w:rPr>
          <w:noProof/>
        </w:rPr>
        <w:t xml:space="preserve">and that non-voting shares and dividend preferences were important </w:t>
      </w:r>
      <w:r w:rsidR="00B60756" w:rsidRPr="007073AD">
        <w:rPr>
          <w:noProof/>
        </w:rPr>
        <w:t>for attracting investment and retaining founder control while the company should be able to offer non-voting shares to employees as a way to incentivize and retain talent</w:t>
      </w:r>
      <w:r w:rsidR="00776DF0" w:rsidRPr="007073AD">
        <w:rPr>
          <w:noProof/>
        </w:rPr>
        <w:t>.</w:t>
      </w:r>
      <w:r w:rsidR="00070689" w:rsidRPr="007073AD">
        <w:rPr>
          <w:noProof/>
        </w:rPr>
        <w:t xml:space="preserve"> When asked about </w:t>
      </w:r>
      <w:r w:rsidR="00070689" w:rsidRPr="007073AD">
        <w:rPr>
          <w:b/>
          <w:noProof/>
        </w:rPr>
        <w:t>benefits from the use of multiple classes of shares</w:t>
      </w:r>
      <w:r w:rsidR="00070689" w:rsidRPr="007073AD">
        <w:rPr>
          <w:noProof/>
        </w:rPr>
        <w:t xml:space="preserve">, </w:t>
      </w:r>
      <w:r w:rsidR="00717C95" w:rsidRPr="007073AD">
        <w:rPr>
          <w:noProof/>
        </w:rPr>
        <w:t>80% of respondents strongly agreed that this would make 28th regime companies attractive to investors and entrepreneurs/start-ups</w:t>
      </w:r>
      <w:r w:rsidR="00BF6E58" w:rsidRPr="007073AD">
        <w:rPr>
          <w:noProof/>
        </w:rPr>
        <w:t>;</w:t>
      </w:r>
      <w:r w:rsidR="00717C95" w:rsidRPr="007073AD">
        <w:rPr>
          <w:noProof/>
        </w:rPr>
        <w:t xml:space="preserve"> 75% </w:t>
      </w:r>
      <w:r w:rsidR="00BF6E58" w:rsidRPr="007073AD">
        <w:rPr>
          <w:noProof/>
        </w:rPr>
        <w:t xml:space="preserve">- </w:t>
      </w:r>
      <w:r w:rsidR="00717C95" w:rsidRPr="007073AD">
        <w:rPr>
          <w:noProof/>
        </w:rPr>
        <w:t>that it would attract highly skilled employees and provide motivation for a long-term engagement and facilitate the use of tailored shareholders’ agreements.</w:t>
      </w:r>
      <w:r w:rsidR="00717C95" w:rsidRPr="007073AD" w:rsidDel="006C1E9A">
        <w:rPr>
          <w:noProof/>
        </w:rPr>
        <w:t xml:space="preserve"> </w:t>
      </w:r>
      <w:r w:rsidR="00717C95" w:rsidRPr="007073AD">
        <w:rPr>
          <w:noProof/>
        </w:rPr>
        <w:t xml:space="preserve">There were </w:t>
      </w:r>
      <w:r w:rsidR="007A21BF" w:rsidRPr="007073AD">
        <w:rPr>
          <w:noProof/>
        </w:rPr>
        <w:t xml:space="preserve">strong </w:t>
      </w:r>
      <w:r w:rsidR="00717C95" w:rsidRPr="007073AD">
        <w:rPr>
          <w:noProof/>
        </w:rPr>
        <w:t xml:space="preserve">majorities in favour in all stakeholders’ groups, except trade unions. </w:t>
      </w:r>
    </w:p>
    <w:p w14:paraId="696547C8" w14:textId="5C4CAAEA" w:rsidR="000A0753" w:rsidRPr="009039FD" w:rsidRDefault="009039FD" w:rsidP="000A0753">
      <w:pPr>
        <w:spacing w:after="120"/>
        <w:rPr>
          <w:rFonts w:eastAsia="Calibri"/>
          <w:b/>
          <w:bCs/>
          <w:i/>
          <w:iCs/>
          <w:noProof/>
        </w:rPr>
      </w:pPr>
      <w:r w:rsidRPr="009039FD">
        <w:rPr>
          <w:rFonts w:eastAsia="Calibri"/>
          <w:b/>
          <w:bCs/>
          <w:i/>
          <w:iCs/>
          <w:noProof/>
        </w:rPr>
        <w:t>E</w:t>
      </w:r>
      <w:r w:rsidR="000A0753" w:rsidRPr="009039FD">
        <w:rPr>
          <w:rFonts w:eastAsia="Calibri"/>
          <w:b/>
          <w:bCs/>
          <w:i/>
          <w:iCs/>
          <w:noProof/>
        </w:rPr>
        <w:t>xit options</w:t>
      </w:r>
      <w:r w:rsidR="000A0753" w:rsidRPr="009039FD" w:rsidDel="00CA2738">
        <w:rPr>
          <w:rFonts w:eastAsia="Calibri"/>
          <w:b/>
          <w:bCs/>
          <w:i/>
          <w:iCs/>
          <w:noProof/>
        </w:rPr>
        <w:t xml:space="preserve"> </w:t>
      </w:r>
      <w:r w:rsidR="000A0753" w:rsidRPr="009039FD">
        <w:rPr>
          <w:rFonts w:eastAsia="Calibri"/>
          <w:b/>
          <w:bCs/>
          <w:i/>
          <w:iCs/>
          <w:noProof/>
        </w:rPr>
        <w:t xml:space="preserve">  </w:t>
      </w:r>
    </w:p>
    <w:p w14:paraId="27DA60CC" w14:textId="473900B4" w:rsidR="00962B70" w:rsidRPr="007073AD" w:rsidRDefault="00CE1AF0" w:rsidP="00962B70">
      <w:pPr>
        <w:spacing w:after="120"/>
        <w:rPr>
          <w:noProof/>
        </w:rPr>
      </w:pPr>
      <w:r>
        <w:rPr>
          <w:noProof/>
        </w:rPr>
        <w:t xml:space="preserve">When asked if </w:t>
      </w:r>
      <w:r w:rsidR="004369AB" w:rsidRPr="00F97112">
        <w:rPr>
          <w:rStyle w:val="normaltextrun"/>
          <w:noProof/>
          <w:color w:val="000000"/>
          <w:shd w:val="clear" w:color="auto" w:fill="FFFFFF"/>
        </w:rPr>
        <w:t>28</w:t>
      </w:r>
      <w:r w:rsidR="004369AB" w:rsidRPr="00F97112">
        <w:rPr>
          <w:rStyle w:val="normaltextrun"/>
          <w:noProof/>
          <w:color w:val="000000"/>
          <w:shd w:val="clear" w:color="auto" w:fill="FFFFFF"/>
          <w:vertAlign w:val="superscript"/>
        </w:rPr>
        <w:t>th</w:t>
      </w:r>
      <w:r w:rsidR="004369AB" w:rsidRPr="00F97112">
        <w:rPr>
          <w:rStyle w:val="normaltextrun"/>
          <w:noProof/>
          <w:color w:val="000000"/>
          <w:shd w:val="clear" w:color="auto" w:fill="FFFFFF"/>
        </w:rPr>
        <w:t xml:space="preserve"> regime companies should be able to </w:t>
      </w:r>
      <w:r w:rsidR="004369AB" w:rsidRPr="00F97112">
        <w:rPr>
          <w:rStyle w:val="normaltextrun"/>
          <w:b/>
          <w:noProof/>
          <w:color w:val="000000"/>
          <w:shd w:val="clear" w:color="auto" w:fill="FFFFFF"/>
        </w:rPr>
        <w:t>freely transfer shares without restrictions</w:t>
      </w:r>
      <w:r w:rsidR="004369AB" w:rsidRPr="00F97112">
        <w:rPr>
          <w:rStyle w:val="normaltextrun"/>
          <w:noProof/>
          <w:color w:val="000000"/>
          <w:shd w:val="clear" w:color="auto" w:fill="FFFFFF"/>
        </w:rPr>
        <w:t xml:space="preserve">, </w:t>
      </w:r>
      <w:r w:rsidR="00784744" w:rsidRPr="00F97112">
        <w:rPr>
          <w:rStyle w:val="normaltextrun"/>
          <w:noProof/>
          <w:color w:val="000000"/>
          <w:shd w:val="clear" w:color="auto" w:fill="FFFFFF"/>
        </w:rPr>
        <w:t xml:space="preserve">respondents were divided, with 44% - against the free transfer of shares without restrictions </w:t>
      </w:r>
      <w:r w:rsidR="00E51CCE" w:rsidRPr="00F97112">
        <w:rPr>
          <w:rStyle w:val="normaltextrun"/>
          <w:noProof/>
          <w:color w:val="000000"/>
          <w:shd w:val="clear" w:color="auto" w:fill="FFFFFF"/>
        </w:rPr>
        <w:t xml:space="preserve">and 38% - </w:t>
      </w:r>
      <w:r w:rsidR="00784744" w:rsidRPr="00F97112">
        <w:rPr>
          <w:rStyle w:val="normaltextrun"/>
          <w:noProof/>
          <w:color w:val="000000"/>
          <w:shd w:val="clear" w:color="auto" w:fill="FFFFFF"/>
        </w:rPr>
        <w:t>in favour</w:t>
      </w:r>
      <w:r w:rsidR="00E51CCE" w:rsidRPr="00F97112">
        <w:rPr>
          <w:rStyle w:val="normaltextrun"/>
          <w:noProof/>
          <w:color w:val="000000"/>
          <w:shd w:val="clear" w:color="auto" w:fill="FFFFFF"/>
        </w:rPr>
        <w:t xml:space="preserve">, with </w:t>
      </w:r>
      <w:r w:rsidR="00784744" w:rsidRPr="00F97112">
        <w:rPr>
          <w:rStyle w:val="normaltextrun"/>
          <w:noProof/>
          <w:color w:val="000000"/>
          <w:shd w:val="clear" w:color="auto" w:fill="FFFFFF"/>
        </w:rPr>
        <w:t>17%</w:t>
      </w:r>
      <w:r w:rsidR="00E51CCE" w:rsidRPr="00F97112">
        <w:rPr>
          <w:rStyle w:val="normaltextrun"/>
          <w:noProof/>
          <w:color w:val="000000"/>
          <w:shd w:val="clear" w:color="auto" w:fill="FFFFFF"/>
        </w:rPr>
        <w:t xml:space="preserve"> with </w:t>
      </w:r>
      <w:r w:rsidR="00784744" w:rsidRPr="00F97112">
        <w:rPr>
          <w:rStyle w:val="normaltextrun"/>
          <w:noProof/>
          <w:color w:val="000000"/>
          <w:shd w:val="clear" w:color="auto" w:fill="FFFFFF"/>
        </w:rPr>
        <w:t>no opinion.</w:t>
      </w:r>
      <w:r w:rsidR="00E51CCE" w:rsidRPr="00F97112">
        <w:rPr>
          <w:rStyle w:val="normaltextrun"/>
          <w:noProof/>
          <w:color w:val="000000"/>
          <w:shd w:val="clear" w:color="auto" w:fill="FFFFFF"/>
        </w:rPr>
        <w:t xml:space="preserve"> </w:t>
      </w:r>
      <w:r w:rsidR="00D5559E" w:rsidRPr="00F97112">
        <w:rPr>
          <w:rStyle w:val="normaltextrun"/>
          <w:noProof/>
          <w:color w:val="000000"/>
          <w:shd w:val="clear" w:color="auto" w:fill="FFFFFF"/>
        </w:rPr>
        <w:t xml:space="preserve">Among those who submitted additional comments, </w:t>
      </w:r>
      <w:r w:rsidR="00407E10" w:rsidRPr="00F97112">
        <w:rPr>
          <w:rStyle w:val="normaltextrun"/>
          <w:noProof/>
          <w:color w:val="000000"/>
          <w:shd w:val="clear" w:color="auto" w:fill="FFFFFF"/>
        </w:rPr>
        <w:t xml:space="preserve">the majority thought that </w:t>
      </w:r>
      <w:r w:rsidR="00063DE8" w:rsidRPr="245F8CA3">
        <w:rPr>
          <w:noProof/>
        </w:rPr>
        <w:t>shares should be freely transfer</w:t>
      </w:r>
      <w:r w:rsidR="00063DE8">
        <w:rPr>
          <w:noProof/>
        </w:rPr>
        <w:t>able</w:t>
      </w:r>
      <w:r w:rsidR="00063DE8" w:rsidRPr="245F8CA3">
        <w:rPr>
          <w:noProof/>
        </w:rPr>
        <w:t xml:space="preserve"> with </w:t>
      </w:r>
      <w:r w:rsidR="008B3686">
        <w:rPr>
          <w:noProof/>
        </w:rPr>
        <w:t>restrictions be</w:t>
      </w:r>
      <w:r w:rsidR="006B0ADE">
        <w:rPr>
          <w:noProof/>
        </w:rPr>
        <w:t>ing</w:t>
      </w:r>
      <w:r w:rsidR="008B3686">
        <w:rPr>
          <w:noProof/>
        </w:rPr>
        <w:t xml:space="preserve"> optional and defined in the articles of association.</w:t>
      </w:r>
      <w:r w:rsidR="008B3686">
        <w:rPr>
          <w:bCs/>
          <w:noProof/>
        </w:rPr>
        <w:t xml:space="preserve"> P</w:t>
      </w:r>
      <w:r w:rsidR="009E61FC" w:rsidRPr="005F5567">
        <w:rPr>
          <w:bCs/>
          <w:noProof/>
        </w:rPr>
        <w:t xml:space="preserve">ublic authorities stressed that </w:t>
      </w:r>
      <w:r w:rsidR="00AD565A">
        <w:rPr>
          <w:bCs/>
          <w:noProof/>
        </w:rPr>
        <w:t>the need for</w:t>
      </w:r>
      <w:r w:rsidR="009E61FC" w:rsidRPr="005F5567">
        <w:rPr>
          <w:bCs/>
          <w:noProof/>
        </w:rPr>
        <w:t xml:space="preserve"> balance between the free transfer of shares and the protection of minority shareholders</w:t>
      </w:r>
      <w:r w:rsidR="009E61FC">
        <w:rPr>
          <w:bCs/>
          <w:noProof/>
        </w:rPr>
        <w:t>,</w:t>
      </w:r>
      <w:r w:rsidR="009E61FC" w:rsidRPr="005F5567">
        <w:rPr>
          <w:bCs/>
          <w:noProof/>
        </w:rPr>
        <w:t xml:space="preserve"> </w:t>
      </w:r>
      <w:r w:rsidR="00FB1EEC">
        <w:rPr>
          <w:bCs/>
          <w:noProof/>
        </w:rPr>
        <w:t xml:space="preserve">e.g. </w:t>
      </w:r>
      <w:r w:rsidR="009E61FC" w:rsidRPr="005F5567">
        <w:rPr>
          <w:bCs/>
          <w:noProof/>
        </w:rPr>
        <w:t xml:space="preserve">through optional restrictions to ensure transparency, trust and </w:t>
      </w:r>
      <w:r w:rsidR="009E61FC" w:rsidRPr="2A150FB3">
        <w:rPr>
          <w:noProof/>
        </w:rPr>
        <w:t>AML</w:t>
      </w:r>
      <w:r w:rsidR="009E61FC" w:rsidRPr="005F5567">
        <w:rPr>
          <w:bCs/>
          <w:noProof/>
        </w:rPr>
        <w:t xml:space="preserve"> compliance. Business associations, companies and </w:t>
      </w:r>
      <w:r w:rsidR="009E61FC">
        <w:rPr>
          <w:noProof/>
        </w:rPr>
        <w:t xml:space="preserve">citizens (mainly </w:t>
      </w:r>
      <w:r w:rsidR="009E61FC" w:rsidRPr="005F5567">
        <w:rPr>
          <w:noProof/>
        </w:rPr>
        <w:t>founders</w:t>
      </w:r>
      <w:r w:rsidR="009E61FC">
        <w:rPr>
          <w:noProof/>
        </w:rPr>
        <w:t xml:space="preserve"> and investors)</w:t>
      </w:r>
      <w:r w:rsidR="009E61FC" w:rsidRPr="005F5567">
        <w:rPr>
          <w:bCs/>
          <w:noProof/>
        </w:rPr>
        <w:t xml:space="preserve"> noted that reasonable restrictions such as pre-emption rights, lock-up periods or approval clauses should be available </w:t>
      </w:r>
      <w:r w:rsidR="00C92014">
        <w:rPr>
          <w:bCs/>
          <w:noProof/>
        </w:rPr>
        <w:t>to</w:t>
      </w:r>
      <w:r w:rsidR="009E61FC" w:rsidRPr="005F5567">
        <w:rPr>
          <w:bCs/>
          <w:noProof/>
        </w:rPr>
        <w:t xml:space="preserve"> founders in the articles of association </w:t>
      </w:r>
      <w:r w:rsidR="00595F7C">
        <w:rPr>
          <w:bCs/>
          <w:noProof/>
        </w:rPr>
        <w:t xml:space="preserve">to </w:t>
      </w:r>
      <w:r w:rsidR="009E61FC" w:rsidRPr="005F5567">
        <w:rPr>
          <w:bCs/>
          <w:noProof/>
        </w:rPr>
        <w:t>ensur</w:t>
      </w:r>
      <w:r w:rsidR="009E61FC">
        <w:rPr>
          <w:bCs/>
          <w:noProof/>
        </w:rPr>
        <w:t>e</w:t>
      </w:r>
      <w:r w:rsidR="009E61FC" w:rsidRPr="005F5567">
        <w:rPr>
          <w:bCs/>
          <w:noProof/>
        </w:rPr>
        <w:t xml:space="preserve"> investor</w:t>
      </w:r>
      <w:r w:rsidR="00DB2F5A">
        <w:rPr>
          <w:bCs/>
          <w:noProof/>
        </w:rPr>
        <w:t>s</w:t>
      </w:r>
      <w:r w:rsidR="009E61FC" w:rsidRPr="005F5567">
        <w:rPr>
          <w:bCs/>
          <w:noProof/>
        </w:rPr>
        <w:t xml:space="preserve">’ confidence </w:t>
      </w:r>
      <w:r w:rsidR="009E61FC">
        <w:rPr>
          <w:bCs/>
          <w:noProof/>
        </w:rPr>
        <w:t xml:space="preserve">to provide </w:t>
      </w:r>
      <w:r w:rsidR="009E61FC" w:rsidRPr="005F5567">
        <w:rPr>
          <w:bCs/>
          <w:noProof/>
        </w:rPr>
        <w:t>liquidity and also preserv</w:t>
      </w:r>
      <w:r w:rsidR="009E61FC">
        <w:rPr>
          <w:bCs/>
          <w:noProof/>
        </w:rPr>
        <w:t>e</w:t>
      </w:r>
      <w:r w:rsidR="009E61FC" w:rsidRPr="005F5567">
        <w:rPr>
          <w:bCs/>
          <w:noProof/>
        </w:rPr>
        <w:t xml:space="preserve"> ownership stability while protecting minority shareholders’ rights and preventing hostile takeovers. </w:t>
      </w:r>
      <w:r w:rsidR="004E5E7E">
        <w:rPr>
          <w:bCs/>
          <w:noProof/>
        </w:rPr>
        <w:t>N</w:t>
      </w:r>
      <w:r w:rsidR="009E61FC" w:rsidRPr="005F5567">
        <w:rPr>
          <w:bCs/>
          <w:noProof/>
        </w:rPr>
        <w:t>otari</w:t>
      </w:r>
      <w:r w:rsidR="004E5E7E">
        <w:rPr>
          <w:bCs/>
          <w:noProof/>
        </w:rPr>
        <w:t>al</w:t>
      </w:r>
      <w:r w:rsidR="009E61FC" w:rsidRPr="005F5567">
        <w:rPr>
          <w:bCs/>
          <w:noProof/>
        </w:rPr>
        <w:t xml:space="preserve"> associations </w:t>
      </w:r>
      <w:r w:rsidR="004575AC">
        <w:rPr>
          <w:bCs/>
          <w:noProof/>
        </w:rPr>
        <w:t xml:space="preserve">also </w:t>
      </w:r>
      <w:r w:rsidR="009E61FC" w:rsidRPr="005F5567">
        <w:rPr>
          <w:bCs/>
          <w:noProof/>
        </w:rPr>
        <w:t xml:space="preserve">agreed that </w:t>
      </w:r>
      <w:r w:rsidR="009E61FC">
        <w:rPr>
          <w:bCs/>
          <w:noProof/>
        </w:rPr>
        <w:t xml:space="preserve">founders should be able to include </w:t>
      </w:r>
      <w:r w:rsidR="009E61FC" w:rsidRPr="005F5567">
        <w:rPr>
          <w:bCs/>
          <w:noProof/>
        </w:rPr>
        <w:t>restrictions in the articles of association.</w:t>
      </w:r>
      <w:r w:rsidR="00784744" w:rsidRPr="00F97112">
        <w:rPr>
          <w:rStyle w:val="normaltextrun"/>
          <w:noProof/>
          <w:color w:val="000000"/>
          <w:shd w:val="clear" w:color="auto" w:fill="FFFFFF"/>
        </w:rPr>
        <w:t xml:space="preserve"> </w:t>
      </w:r>
      <w:r w:rsidR="00962B70" w:rsidRPr="007073AD">
        <w:rPr>
          <w:rStyle w:val="normaltextrun"/>
          <w:noProof/>
        </w:rPr>
        <w:t xml:space="preserve">In case </w:t>
      </w:r>
      <w:r w:rsidR="00962B70" w:rsidRPr="007073AD">
        <w:rPr>
          <w:rStyle w:val="normaltextrun"/>
          <w:b/>
          <w:noProof/>
        </w:rPr>
        <w:t>restrictions on the transfer of shares</w:t>
      </w:r>
      <w:r w:rsidR="00962B70" w:rsidRPr="007073AD">
        <w:rPr>
          <w:rStyle w:val="normaltextrun"/>
          <w:noProof/>
        </w:rPr>
        <w:t xml:space="preserve"> would be necessary, 77% of respondents preferred pre-emption rights, 49% </w:t>
      </w:r>
      <w:r w:rsidR="00CD57B3" w:rsidRPr="007073AD">
        <w:rPr>
          <w:rStyle w:val="normaltextrun"/>
          <w:noProof/>
        </w:rPr>
        <w:t xml:space="preserve">- </w:t>
      </w:r>
      <w:r w:rsidR="00962B70" w:rsidRPr="007073AD">
        <w:rPr>
          <w:rStyle w:val="normaltextrun"/>
          <w:noProof/>
        </w:rPr>
        <w:t>the right of shareholders to approve a new shareholder and 40% - the temporary transfer prohibition (lock-up period).</w:t>
      </w:r>
      <w:r w:rsidR="00BF6AC8" w:rsidRPr="007073AD">
        <w:rPr>
          <w:rStyle w:val="normaltextrun"/>
          <w:noProof/>
        </w:rPr>
        <w:t xml:space="preserve"> In addition, </w:t>
      </w:r>
      <w:r w:rsidR="00680557" w:rsidRPr="007073AD">
        <w:rPr>
          <w:noProof/>
        </w:rPr>
        <w:t xml:space="preserve">84% replied that restrictions on the transfer of shares should be left for companies to define in </w:t>
      </w:r>
      <w:r w:rsidR="009B191C">
        <w:rPr>
          <w:noProof/>
        </w:rPr>
        <w:t xml:space="preserve">the </w:t>
      </w:r>
      <w:r w:rsidR="00680557" w:rsidRPr="007073AD">
        <w:rPr>
          <w:noProof/>
        </w:rPr>
        <w:t>Articles of Association</w:t>
      </w:r>
      <w:r w:rsidR="002859FF" w:rsidRPr="007073AD">
        <w:rPr>
          <w:noProof/>
        </w:rPr>
        <w:t xml:space="preserve">; </w:t>
      </w:r>
      <w:r w:rsidR="00680557" w:rsidRPr="007073AD">
        <w:rPr>
          <w:noProof/>
        </w:rPr>
        <w:t>7.6%</w:t>
      </w:r>
      <w:r w:rsidR="002859FF" w:rsidRPr="007073AD">
        <w:rPr>
          <w:noProof/>
        </w:rPr>
        <w:t xml:space="preserve"> - </w:t>
      </w:r>
      <w:r w:rsidR="00680557" w:rsidRPr="007073AD">
        <w:rPr>
          <w:noProof/>
        </w:rPr>
        <w:t>considered that the</w:t>
      </w:r>
      <w:r w:rsidR="002859FF" w:rsidRPr="007073AD">
        <w:rPr>
          <w:noProof/>
        </w:rPr>
        <w:t>se</w:t>
      </w:r>
      <w:r w:rsidR="00680557" w:rsidRPr="007073AD">
        <w:rPr>
          <w:noProof/>
        </w:rPr>
        <w:t xml:space="preserve"> should be mandatory.</w:t>
      </w:r>
    </w:p>
    <w:p w14:paraId="7F9BDC01" w14:textId="10415239" w:rsidR="001123FF" w:rsidRDefault="004D19C5" w:rsidP="00962B70">
      <w:pPr>
        <w:spacing w:after="120"/>
        <w:rPr>
          <w:rStyle w:val="normaltextrun"/>
          <w:bCs/>
          <w:noProof/>
          <w:color w:val="000000" w:themeColor="text1"/>
        </w:rPr>
      </w:pPr>
      <w:r>
        <w:rPr>
          <w:bCs/>
          <w:iCs/>
          <w:noProof/>
        </w:rPr>
        <w:t>As regards</w:t>
      </w:r>
      <w:r w:rsidR="00DB53E7">
        <w:rPr>
          <w:bCs/>
          <w:iCs/>
          <w:noProof/>
        </w:rPr>
        <w:t xml:space="preserve"> </w:t>
      </w:r>
      <w:r w:rsidR="00DB53E7" w:rsidRPr="00DB53E7">
        <w:rPr>
          <w:bCs/>
          <w:iCs/>
          <w:noProof/>
        </w:rPr>
        <w:t xml:space="preserve">the </w:t>
      </w:r>
      <w:r w:rsidR="00DB53E7" w:rsidRPr="00C434B6">
        <w:rPr>
          <w:b/>
          <w:iCs/>
          <w:noProof/>
        </w:rPr>
        <w:t>preferred financing channels for 28</w:t>
      </w:r>
      <w:r w:rsidR="00DB53E7" w:rsidRPr="00FC1843">
        <w:rPr>
          <w:b/>
          <w:noProof/>
          <w:vertAlign w:val="superscript"/>
        </w:rPr>
        <w:t>th</w:t>
      </w:r>
      <w:r w:rsidR="00DB53E7" w:rsidRPr="00C434B6">
        <w:rPr>
          <w:b/>
          <w:iCs/>
          <w:noProof/>
        </w:rPr>
        <w:t xml:space="preserve"> regime companies</w:t>
      </w:r>
      <w:r w:rsidR="00DB53E7">
        <w:rPr>
          <w:bCs/>
          <w:iCs/>
          <w:noProof/>
        </w:rPr>
        <w:t xml:space="preserve">, </w:t>
      </w:r>
      <w:r w:rsidR="00904F9B">
        <w:rPr>
          <w:bCs/>
          <w:iCs/>
          <w:noProof/>
        </w:rPr>
        <w:t>t</w:t>
      </w:r>
      <w:r w:rsidR="00904F9B">
        <w:rPr>
          <w:rStyle w:val="normaltextrun"/>
          <w:bCs/>
          <w:noProof/>
          <w:color w:val="000000" w:themeColor="text1"/>
        </w:rPr>
        <w:t xml:space="preserve">he most preferred </w:t>
      </w:r>
      <w:r w:rsidR="00FC5C80">
        <w:rPr>
          <w:rStyle w:val="normaltextrun"/>
          <w:bCs/>
          <w:noProof/>
          <w:color w:val="000000" w:themeColor="text1"/>
        </w:rPr>
        <w:t xml:space="preserve">one </w:t>
      </w:r>
      <w:r w:rsidR="004A3ADA">
        <w:rPr>
          <w:rStyle w:val="normaltextrun"/>
          <w:bCs/>
          <w:noProof/>
          <w:color w:val="000000" w:themeColor="text1"/>
        </w:rPr>
        <w:t>among respondents to the consultation</w:t>
      </w:r>
      <w:r w:rsidR="00FC5C80">
        <w:rPr>
          <w:rStyle w:val="normaltextrun"/>
          <w:bCs/>
          <w:noProof/>
          <w:color w:val="000000" w:themeColor="text1"/>
        </w:rPr>
        <w:t xml:space="preserve"> </w:t>
      </w:r>
      <w:r w:rsidR="00475622">
        <w:rPr>
          <w:rStyle w:val="normaltextrun"/>
          <w:bCs/>
          <w:noProof/>
          <w:color w:val="000000" w:themeColor="text1"/>
        </w:rPr>
        <w:t>was</w:t>
      </w:r>
      <w:r w:rsidR="00904F9B">
        <w:rPr>
          <w:rStyle w:val="normaltextrun"/>
          <w:bCs/>
          <w:noProof/>
          <w:color w:val="000000" w:themeColor="text1"/>
        </w:rPr>
        <w:t xml:space="preserve"> c</w:t>
      </w:r>
      <w:r w:rsidR="00904F9B" w:rsidRPr="00A50FCA">
        <w:rPr>
          <w:rStyle w:val="normaltextrun"/>
          <w:bCs/>
          <w:noProof/>
          <w:color w:val="000000" w:themeColor="text1"/>
        </w:rPr>
        <w:t>apital contributions from new shareholders or private investors, including, but not limited to, business angels, venture and growth capital funds, corporate venture capital, and other private equity actors</w:t>
      </w:r>
      <w:r w:rsidR="00904F9B">
        <w:rPr>
          <w:rStyle w:val="normaltextrun"/>
          <w:bCs/>
          <w:noProof/>
          <w:color w:val="000000" w:themeColor="text1"/>
        </w:rPr>
        <w:t xml:space="preserve">, with </w:t>
      </w:r>
      <w:r w:rsidR="00904F9B" w:rsidRPr="00A50FCA">
        <w:rPr>
          <w:rStyle w:val="normaltextrun"/>
          <w:bCs/>
          <w:noProof/>
          <w:color w:val="000000" w:themeColor="text1"/>
        </w:rPr>
        <w:t>91%</w:t>
      </w:r>
      <w:r w:rsidR="00904F9B">
        <w:rPr>
          <w:rStyle w:val="normaltextrun"/>
          <w:bCs/>
          <w:noProof/>
          <w:color w:val="000000" w:themeColor="text1"/>
        </w:rPr>
        <w:t xml:space="preserve"> of respondents agreeing to a large extent (and </w:t>
      </w:r>
      <w:r w:rsidR="00904F9B" w:rsidRPr="00A50FCA">
        <w:rPr>
          <w:rStyle w:val="normaltextrun"/>
          <w:bCs/>
          <w:noProof/>
          <w:color w:val="000000" w:themeColor="text1"/>
        </w:rPr>
        <w:t>76% to a very large extent)</w:t>
      </w:r>
      <w:r w:rsidR="004D32AF">
        <w:rPr>
          <w:rStyle w:val="normaltextrun"/>
          <w:bCs/>
          <w:noProof/>
          <w:color w:val="000000" w:themeColor="text1"/>
        </w:rPr>
        <w:t>; then</w:t>
      </w:r>
      <w:r w:rsidR="00904F9B">
        <w:rPr>
          <w:rStyle w:val="normaltextrun"/>
          <w:bCs/>
          <w:noProof/>
          <w:color w:val="000000" w:themeColor="text1"/>
        </w:rPr>
        <w:t xml:space="preserve"> d</w:t>
      </w:r>
      <w:r w:rsidR="00904F9B" w:rsidRPr="00CC7D47">
        <w:rPr>
          <w:rStyle w:val="normaltextrun"/>
          <w:bCs/>
          <w:noProof/>
          <w:color w:val="000000" w:themeColor="text1"/>
        </w:rPr>
        <w:t xml:space="preserve">ebt </w:t>
      </w:r>
      <w:r w:rsidR="00904F9B" w:rsidRPr="00A50FCA">
        <w:rPr>
          <w:rStyle w:val="normaltextrun"/>
          <w:bCs/>
          <w:noProof/>
          <w:color w:val="000000" w:themeColor="text1"/>
        </w:rPr>
        <w:t xml:space="preserve">funding (e.g. loans, bonds, etc. including access to debt exchange markets for the issuance and trading of debt securities) </w:t>
      </w:r>
      <w:r w:rsidR="00904F9B">
        <w:rPr>
          <w:rStyle w:val="normaltextrun"/>
          <w:bCs/>
          <w:noProof/>
          <w:color w:val="000000" w:themeColor="text1"/>
        </w:rPr>
        <w:t>and a</w:t>
      </w:r>
      <w:r w:rsidR="00904F9B" w:rsidRPr="000D1A94">
        <w:rPr>
          <w:rStyle w:val="normaltextrun"/>
          <w:bCs/>
          <w:noProof/>
          <w:color w:val="000000" w:themeColor="text1"/>
        </w:rPr>
        <w:t>ccess</w:t>
      </w:r>
      <w:r w:rsidR="00904F9B" w:rsidRPr="00A50FCA">
        <w:rPr>
          <w:rStyle w:val="normaltextrun"/>
          <w:bCs/>
          <w:noProof/>
          <w:color w:val="000000" w:themeColor="text1"/>
        </w:rPr>
        <w:t xml:space="preserve"> to SME Growth Markets</w:t>
      </w:r>
      <w:r w:rsidR="002B6676">
        <w:rPr>
          <w:rStyle w:val="normaltextrun"/>
          <w:bCs/>
          <w:noProof/>
          <w:color w:val="000000" w:themeColor="text1"/>
        </w:rPr>
        <w:t xml:space="preserve">, </w:t>
      </w:r>
      <w:r w:rsidR="00904F9B">
        <w:rPr>
          <w:rStyle w:val="normaltextrun"/>
          <w:bCs/>
          <w:noProof/>
          <w:color w:val="000000" w:themeColor="text1"/>
        </w:rPr>
        <w:t>by</w:t>
      </w:r>
      <w:r w:rsidR="00904F9B" w:rsidRPr="00A50FCA">
        <w:rPr>
          <w:rStyle w:val="normaltextrun"/>
          <w:bCs/>
          <w:noProof/>
          <w:color w:val="000000" w:themeColor="text1"/>
        </w:rPr>
        <w:t xml:space="preserve"> 74%</w:t>
      </w:r>
      <w:r w:rsidR="00904F9B">
        <w:rPr>
          <w:rStyle w:val="normaltextrun"/>
          <w:bCs/>
          <w:noProof/>
          <w:color w:val="000000" w:themeColor="text1"/>
        </w:rPr>
        <w:t xml:space="preserve"> and </w:t>
      </w:r>
      <w:r w:rsidR="00904F9B" w:rsidRPr="00A50FCA">
        <w:rPr>
          <w:rStyle w:val="normaltextrun"/>
          <w:bCs/>
          <w:noProof/>
          <w:color w:val="000000" w:themeColor="text1"/>
        </w:rPr>
        <w:t>68%</w:t>
      </w:r>
      <w:r w:rsidR="00904F9B">
        <w:rPr>
          <w:rStyle w:val="normaltextrun"/>
          <w:bCs/>
          <w:noProof/>
          <w:color w:val="000000" w:themeColor="text1"/>
        </w:rPr>
        <w:t>, respectively. Around half of respondents also thought (to a large or very large extent) that a</w:t>
      </w:r>
      <w:r w:rsidR="00904F9B" w:rsidRPr="00806129">
        <w:rPr>
          <w:rStyle w:val="normaltextrun"/>
          <w:bCs/>
          <w:noProof/>
          <w:color w:val="000000" w:themeColor="text1"/>
        </w:rPr>
        <w:t>dmission</w:t>
      </w:r>
      <w:r w:rsidR="00904F9B" w:rsidRPr="00A50FCA">
        <w:rPr>
          <w:rStyle w:val="normaltextrun"/>
          <w:bCs/>
          <w:noProof/>
          <w:color w:val="000000" w:themeColor="text1"/>
        </w:rPr>
        <w:t xml:space="preserve"> to regulated Stock Markets: full public listing on a regulated exchange</w:t>
      </w:r>
      <w:r w:rsidR="00904F9B">
        <w:rPr>
          <w:rStyle w:val="normaltextrun"/>
          <w:bCs/>
          <w:noProof/>
          <w:color w:val="000000" w:themeColor="text1"/>
        </w:rPr>
        <w:t xml:space="preserve"> (</w:t>
      </w:r>
      <w:r w:rsidR="00904F9B" w:rsidRPr="00A50FCA">
        <w:rPr>
          <w:rStyle w:val="normaltextrun"/>
          <w:bCs/>
          <w:noProof/>
          <w:color w:val="000000" w:themeColor="text1"/>
        </w:rPr>
        <w:t>47%</w:t>
      </w:r>
      <w:r w:rsidR="00904F9B">
        <w:rPr>
          <w:rStyle w:val="normaltextrun"/>
          <w:bCs/>
          <w:noProof/>
          <w:color w:val="000000" w:themeColor="text1"/>
        </w:rPr>
        <w:t>) and e</w:t>
      </w:r>
      <w:r w:rsidR="00904F9B" w:rsidRPr="005337E1">
        <w:rPr>
          <w:rStyle w:val="normaltextrun"/>
          <w:bCs/>
          <w:noProof/>
          <w:color w:val="000000" w:themeColor="text1"/>
        </w:rPr>
        <w:t>quity</w:t>
      </w:r>
      <w:r w:rsidR="00904F9B" w:rsidRPr="00A50FCA">
        <w:rPr>
          <w:rStyle w:val="normaltextrun"/>
          <w:bCs/>
          <w:noProof/>
          <w:color w:val="000000" w:themeColor="text1"/>
        </w:rPr>
        <w:t xml:space="preserve">-based crowdfunding </w:t>
      </w:r>
      <w:r w:rsidR="00904F9B">
        <w:rPr>
          <w:rStyle w:val="normaltextrun"/>
          <w:bCs/>
          <w:noProof/>
          <w:color w:val="000000" w:themeColor="text1"/>
        </w:rPr>
        <w:t>(</w:t>
      </w:r>
      <w:r w:rsidR="00904F9B" w:rsidRPr="00A50FCA">
        <w:rPr>
          <w:rStyle w:val="normaltextrun"/>
          <w:bCs/>
          <w:noProof/>
          <w:color w:val="000000" w:themeColor="text1"/>
        </w:rPr>
        <w:t>44%</w:t>
      </w:r>
      <w:r w:rsidR="00904F9B">
        <w:rPr>
          <w:rStyle w:val="normaltextrun"/>
          <w:bCs/>
          <w:noProof/>
          <w:color w:val="000000" w:themeColor="text1"/>
        </w:rPr>
        <w:t xml:space="preserve">) </w:t>
      </w:r>
      <w:r w:rsidR="00516C7B">
        <w:rPr>
          <w:rStyle w:val="normaltextrun"/>
          <w:bCs/>
          <w:noProof/>
          <w:color w:val="000000" w:themeColor="text1"/>
        </w:rPr>
        <w:t xml:space="preserve">should be </w:t>
      </w:r>
      <w:r w:rsidR="00904F9B">
        <w:rPr>
          <w:rStyle w:val="normaltextrun"/>
          <w:bCs/>
          <w:noProof/>
          <w:color w:val="000000" w:themeColor="text1"/>
        </w:rPr>
        <w:t>preferred financing channels. Finally, a</w:t>
      </w:r>
      <w:r w:rsidR="00904F9B" w:rsidRPr="00A50FCA">
        <w:rPr>
          <w:rStyle w:val="normaltextrun"/>
          <w:bCs/>
          <w:noProof/>
          <w:color w:val="000000" w:themeColor="text1"/>
        </w:rPr>
        <w:t xml:space="preserve">dmission to other Multilateral Trading Facilities </w:t>
      </w:r>
      <w:r w:rsidR="00904F9B" w:rsidRPr="00D2442B" w:rsidDel="00B13D04">
        <w:rPr>
          <w:rStyle w:val="normaltextrun"/>
          <w:bCs/>
          <w:noProof/>
          <w:color w:val="000000" w:themeColor="text1"/>
        </w:rPr>
        <w:t>(</w:t>
      </w:r>
      <w:r w:rsidR="00904F9B">
        <w:rPr>
          <w:rStyle w:val="normaltextrun"/>
          <w:bCs/>
          <w:noProof/>
          <w:color w:val="000000" w:themeColor="text1"/>
        </w:rPr>
        <w:t xml:space="preserve">MTF, </w:t>
      </w:r>
      <w:r w:rsidR="00904F9B" w:rsidRPr="00D2442B" w:rsidDel="00B13D04">
        <w:rPr>
          <w:rStyle w:val="normaltextrun"/>
          <w:bCs/>
          <w:noProof/>
          <w:color w:val="000000" w:themeColor="text1"/>
        </w:rPr>
        <w:t>private platform that allow for the trading of equity instruments under flexible but regulated conditions</w:t>
      </w:r>
      <w:r w:rsidR="00904F9B" w:rsidDel="00B13D04">
        <w:rPr>
          <w:rStyle w:val="normaltextrun"/>
          <w:bCs/>
          <w:noProof/>
          <w:color w:val="000000" w:themeColor="text1"/>
        </w:rPr>
        <w:t>)</w:t>
      </w:r>
      <w:r w:rsidR="00904F9B">
        <w:rPr>
          <w:rStyle w:val="normaltextrun"/>
          <w:bCs/>
          <w:noProof/>
          <w:color w:val="000000" w:themeColor="text1"/>
        </w:rPr>
        <w:t xml:space="preserve"> w</w:t>
      </w:r>
      <w:r w:rsidR="00C434B6">
        <w:rPr>
          <w:rStyle w:val="normaltextrun"/>
          <w:bCs/>
          <w:noProof/>
          <w:color w:val="000000" w:themeColor="text1"/>
        </w:rPr>
        <w:t>ere raised</w:t>
      </w:r>
      <w:r w:rsidR="00904F9B">
        <w:rPr>
          <w:rStyle w:val="normaltextrun"/>
          <w:bCs/>
          <w:noProof/>
          <w:color w:val="000000" w:themeColor="text1"/>
        </w:rPr>
        <w:t xml:space="preserve"> by 38%.</w:t>
      </w:r>
      <w:r w:rsidR="00366E57" w:rsidRPr="00366E57">
        <w:rPr>
          <w:noProof/>
          <w:color w:val="000000" w:themeColor="text1"/>
        </w:rPr>
        <w:t xml:space="preserve"> </w:t>
      </w:r>
      <w:r w:rsidR="00366E57" w:rsidRPr="00331AFF">
        <w:rPr>
          <w:rStyle w:val="normaltextrun"/>
          <w:bCs/>
          <w:noProof/>
          <w:color w:val="000000" w:themeColor="text1"/>
        </w:rPr>
        <w:t>Business associations</w:t>
      </w:r>
      <w:r w:rsidR="00366E57">
        <w:rPr>
          <w:rStyle w:val="normaltextrun"/>
          <w:bCs/>
          <w:noProof/>
          <w:color w:val="000000" w:themeColor="text1"/>
        </w:rPr>
        <w:t xml:space="preserve"> preferred (to a large or very large extent) c</w:t>
      </w:r>
      <w:r w:rsidR="00366E57" w:rsidRPr="005254F5">
        <w:rPr>
          <w:rStyle w:val="normaltextrun"/>
          <w:bCs/>
          <w:noProof/>
          <w:color w:val="000000" w:themeColor="text1"/>
        </w:rPr>
        <w:t>ontributions from new investors</w:t>
      </w:r>
      <w:r w:rsidR="00366E57">
        <w:rPr>
          <w:rStyle w:val="normaltextrun"/>
          <w:bCs/>
          <w:noProof/>
          <w:color w:val="000000" w:themeColor="text1"/>
        </w:rPr>
        <w:t>, a</w:t>
      </w:r>
      <w:r w:rsidR="00366E57" w:rsidRPr="005254F5">
        <w:rPr>
          <w:rStyle w:val="normaltextrun"/>
          <w:bCs/>
          <w:noProof/>
          <w:color w:val="000000" w:themeColor="text1"/>
        </w:rPr>
        <w:t>ccess to SME Growth markets</w:t>
      </w:r>
      <w:r w:rsidR="00366E57">
        <w:rPr>
          <w:rStyle w:val="normaltextrun"/>
          <w:bCs/>
          <w:noProof/>
          <w:color w:val="000000" w:themeColor="text1"/>
        </w:rPr>
        <w:t xml:space="preserve"> and d</w:t>
      </w:r>
      <w:r w:rsidR="00366E57" w:rsidRPr="005254F5">
        <w:rPr>
          <w:rStyle w:val="normaltextrun"/>
          <w:bCs/>
          <w:noProof/>
          <w:color w:val="000000" w:themeColor="text1"/>
        </w:rPr>
        <w:t xml:space="preserve">ebt funding and </w:t>
      </w:r>
      <w:r w:rsidR="00366E57" w:rsidRPr="005254F5">
        <w:rPr>
          <w:rStyle w:val="normaltextrun"/>
          <w:noProof/>
          <w:color w:val="000000" w:themeColor="text1"/>
        </w:rPr>
        <w:t xml:space="preserve">to a moderate extent </w:t>
      </w:r>
      <w:r w:rsidR="00366E57">
        <w:rPr>
          <w:rStyle w:val="normaltextrun"/>
          <w:noProof/>
          <w:color w:val="000000" w:themeColor="text1"/>
        </w:rPr>
        <w:t xml:space="preserve">- </w:t>
      </w:r>
      <w:r w:rsidR="00366E57" w:rsidRPr="005254F5">
        <w:rPr>
          <w:rStyle w:val="normaltextrun"/>
          <w:noProof/>
          <w:color w:val="000000" w:themeColor="text1"/>
        </w:rPr>
        <w:t>equity-based crowdfunding, admission to regulated stock markets and admission to other MTF</w:t>
      </w:r>
      <w:r w:rsidR="00366E57">
        <w:rPr>
          <w:rStyle w:val="normaltextrun"/>
          <w:bCs/>
          <w:noProof/>
          <w:color w:val="000000" w:themeColor="text1"/>
        </w:rPr>
        <w:t xml:space="preserve">. </w:t>
      </w:r>
      <w:r w:rsidR="008C6C2C" w:rsidRPr="00331AFF">
        <w:rPr>
          <w:rStyle w:val="normaltextrun"/>
          <w:bCs/>
          <w:noProof/>
          <w:color w:val="000000" w:themeColor="text1"/>
        </w:rPr>
        <w:t xml:space="preserve">Companies and </w:t>
      </w:r>
      <w:r w:rsidR="008C6C2C">
        <w:rPr>
          <w:rStyle w:val="normaltextrun"/>
          <w:bCs/>
          <w:noProof/>
          <w:color w:val="000000" w:themeColor="text1"/>
        </w:rPr>
        <w:t xml:space="preserve">citizens (mainly </w:t>
      </w:r>
      <w:r w:rsidR="008C6C2C" w:rsidRPr="00331AFF">
        <w:rPr>
          <w:rStyle w:val="normaltextrun"/>
          <w:bCs/>
          <w:noProof/>
          <w:color w:val="000000" w:themeColor="text1"/>
        </w:rPr>
        <w:t>founders</w:t>
      </w:r>
      <w:r w:rsidR="008C6C2C">
        <w:rPr>
          <w:rStyle w:val="normaltextrun"/>
          <w:bCs/>
          <w:noProof/>
          <w:color w:val="000000" w:themeColor="text1"/>
        </w:rPr>
        <w:t xml:space="preserve"> and investors) supported (to a large or very large extent) c</w:t>
      </w:r>
      <w:r w:rsidR="008C6C2C" w:rsidRPr="008C76ED">
        <w:rPr>
          <w:rStyle w:val="normaltextrun"/>
          <w:bCs/>
          <w:noProof/>
          <w:color w:val="000000" w:themeColor="text1"/>
        </w:rPr>
        <w:t xml:space="preserve">ontributions from private investors, </w:t>
      </w:r>
      <w:r w:rsidR="008C6C2C">
        <w:rPr>
          <w:rStyle w:val="normaltextrun"/>
          <w:bCs/>
          <w:noProof/>
          <w:color w:val="000000" w:themeColor="text1"/>
        </w:rPr>
        <w:t>a</w:t>
      </w:r>
      <w:r w:rsidR="008C6C2C" w:rsidRPr="008C76ED">
        <w:rPr>
          <w:rStyle w:val="normaltextrun"/>
          <w:bCs/>
          <w:noProof/>
          <w:color w:val="000000" w:themeColor="text1"/>
        </w:rPr>
        <w:t>ccess to SME Growth markets</w:t>
      </w:r>
      <w:r w:rsidR="008C6C2C">
        <w:rPr>
          <w:rStyle w:val="normaltextrun"/>
          <w:bCs/>
          <w:noProof/>
          <w:color w:val="000000" w:themeColor="text1"/>
        </w:rPr>
        <w:t>, a</w:t>
      </w:r>
      <w:r w:rsidR="008C6C2C" w:rsidRPr="008C76ED">
        <w:rPr>
          <w:rStyle w:val="normaltextrun"/>
          <w:bCs/>
          <w:noProof/>
          <w:color w:val="000000" w:themeColor="text1"/>
        </w:rPr>
        <w:t>dmission to regulated stock markets</w:t>
      </w:r>
      <w:r w:rsidR="008C6C2C">
        <w:rPr>
          <w:rStyle w:val="normaltextrun"/>
          <w:bCs/>
          <w:noProof/>
          <w:color w:val="000000" w:themeColor="text1"/>
        </w:rPr>
        <w:t xml:space="preserve"> and d</w:t>
      </w:r>
      <w:r w:rsidR="008C6C2C" w:rsidRPr="008C76ED">
        <w:rPr>
          <w:rStyle w:val="normaltextrun"/>
          <w:bCs/>
          <w:noProof/>
          <w:color w:val="000000" w:themeColor="text1"/>
        </w:rPr>
        <w:t>ebt fundin</w:t>
      </w:r>
      <w:r w:rsidR="008C6C2C">
        <w:rPr>
          <w:rStyle w:val="normaltextrun"/>
          <w:bCs/>
          <w:noProof/>
          <w:color w:val="000000" w:themeColor="text1"/>
        </w:rPr>
        <w:t xml:space="preserve">g while </w:t>
      </w:r>
      <w:r w:rsidR="008C6C2C" w:rsidRPr="6A37A337">
        <w:rPr>
          <w:rStyle w:val="normaltextrun"/>
          <w:noProof/>
          <w:color w:val="000000" w:themeColor="text1"/>
        </w:rPr>
        <w:t xml:space="preserve">they </w:t>
      </w:r>
      <w:r w:rsidR="008C6C2C">
        <w:rPr>
          <w:rStyle w:val="normaltextrun"/>
          <w:bCs/>
          <w:noProof/>
          <w:color w:val="000000" w:themeColor="text1"/>
        </w:rPr>
        <w:t>were</w:t>
      </w:r>
      <w:r w:rsidR="008C6C2C" w:rsidDel="00CA2E32">
        <w:rPr>
          <w:rStyle w:val="normaltextrun"/>
          <w:bCs/>
          <w:noProof/>
          <w:color w:val="000000" w:themeColor="text1"/>
        </w:rPr>
        <w:t xml:space="preserve"> </w:t>
      </w:r>
      <w:r w:rsidR="008C6C2C">
        <w:rPr>
          <w:rStyle w:val="normaltextrun"/>
          <w:bCs/>
          <w:noProof/>
          <w:color w:val="000000" w:themeColor="text1"/>
        </w:rPr>
        <w:t>split on e</w:t>
      </w:r>
      <w:r w:rsidR="008C6C2C" w:rsidRPr="008C76ED">
        <w:rPr>
          <w:rStyle w:val="normaltextrun"/>
          <w:bCs/>
          <w:noProof/>
          <w:color w:val="000000" w:themeColor="text1"/>
        </w:rPr>
        <w:t>quity-based crowdfunding</w:t>
      </w:r>
      <w:r w:rsidR="008C6C2C">
        <w:rPr>
          <w:rStyle w:val="normaltextrun"/>
          <w:bCs/>
          <w:noProof/>
          <w:color w:val="000000" w:themeColor="text1"/>
        </w:rPr>
        <w:t xml:space="preserve"> and</w:t>
      </w:r>
      <w:r w:rsidR="008C6C2C" w:rsidRPr="00E81B42">
        <w:rPr>
          <w:rStyle w:val="normaltextrun"/>
          <w:bCs/>
          <w:noProof/>
          <w:color w:val="000000" w:themeColor="text1"/>
        </w:rPr>
        <w:t xml:space="preserve"> </w:t>
      </w:r>
      <w:r w:rsidR="008C6C2C" w:rsidRPr="00D2442B">
        <w:rPr>
          <w:rStyle w:val="normaltextrun"/>
          <w:bCs/>
          <w:noProof/>
          <w:color w:val="000000" w:themeColor="text1"/>
        </w:rPr>
        <w:t>admission to other M</w:t>
      </w:r>
      <w:r w:rsidR="00C8740C">
        <w:rPr>
          <w:rStyle w:val="normaltextrun"/>
          <w:bCs/>
          <w:noProof/>
          <w:color w:val="000000" w:themeColor="text1"/>
        </w:rPr>
        <w:t>TF</w:t>
      </w:r>
      <w:r w:rsidR="008C6C2C">
        <w:rPr>
          <w:rStyle w:val="normaltextrun"/>
          <w:bCs/>
          <w:noProof/>
          <w:color w:val="000000" w:themeColor="text1"/>
        </w:rPr>
        <w:t>.</w:t>
      </w:r>
      <w:r w:rsidR="00C8740C">
        <w:rPr>
          <w:rStyle w:val="normaltextrun"/>
          <w:bCs/>
          <w:noProof/>
          <w:color w:val="000000" w:themeColor="text1"/>
        </w:rPr>
        <w:t xml:space="preserve"> </w:t>
      </w:r>
      <w:r w:rsidR="00F149EF">
        <w:rPr>
          <w:rStyle w:val="normaltextrun"/>
          <w:bCs/>
          <w:noProof/>
          <w:color w:val="000000" w:themeColor="text1"/>
        </w:rPr>
        <w:t>P</w:t>
      </w:r>
      <w:r w:rsidR="00F149EF" w:rsidRPr="00331AFF">
        <w:rPr>
          <w:rStyle w:val="normaltextrun"/>
          <w:bCs/>
          <w:noProof/>
          <w:color w:val="000000" w:themeColor="text1"/>
        </w:rPr>
        <w:t>ublic authorities</w:t>
      </w:r>
      <w:r w:rsidR="00F149EF" w:rsidRPr="008C76ED">
        <w:rPr>
          <w:rStyle w:val="normaltextrun"/>
          <w:b/>
          <w:noProof/>
          <w:color w:val="000000" w:themeColor="text1"/>
        </w:rPr>
        <w:t xml:space="preserve"> </w:t>
      </w:r>
      <w:r w:rsidR="00F149EF">
        <w:rPr>
          <w:rStyle w:val="normaltextrun"/>
          <w:bCs/>
          <w:noProof/>
          <w:color w:val="000000" w:themeColor="text1"/>
        </w:rPr>
        <w:t xml:space="preserve">were less supportive of the </w:t>
      </w:r>
      <w:r w:rsidR="00F149EF" w:rsidRPr="00D2442B">
        <w:rPr>
          <w:rStyle w:val="normaltextrun"/>
          <w:bCs/>
          <w:noProof/>
          <w:color w:val="000000" w:themeColor="text1"/>
        </w:rPr>
        <w:t>admission to other MTF</w:t>
      </w:r>
      <w:r w:rsidR="0022110C">
        <w:rPr>
          <w:rStyle w:val="normaltextrun"/>
          <w:bCs/>
          <w:noProof/>
          <w:color w:val="000000" w:themeColor="text1"/>
        </w:rPr>
        <w:t xml:space="preserve">; and </w:t>
      </w:r>
      <w:r w:rsidR="00F96319">
        <w:rPr>
          <w:rStyle w:val="normaltextrun"/>
          <w:bCs/>
          <w:noProof/>
          <w:color w:val="000000" w:themeColor="text1"/>
        </w:rPr>
        <w:t>t</w:t>
      </w:r>
      <w:r w:rsidR="00F96319" w:rsidRPr="00331AFF">
        <w:rPr>
          <w:rStyle w:val="normaltextrun"/>
          <w:bCs/>
          <w:noProof/>
          <w:color w:val="000000" w:themeColor="text1"/>
        </w:rPr>
        <w:t xml:space="preserve">rade </w:t>
      </w:r>
      <w:r w:rsidR="00F96319">
        <w:rPr>
          <w:rStyle w:val="normaltextrun"/>
          <w:bCs/>
          <w:noProof/>
          <w:color w:val="000000" w:themeColor="text1"/>
        </w:rPr>
        <w:t>u</w:t>
      </w:r>
      <w:r w:rsidR="00F96319" w:rsidRPr="00331AFF">
        <w:rPr>
          <w:rStyle w:val="normaltextrun"/>
          <w:bCs/>
          <w:noProof/>
          <w:color w:val="000000" w:themeColor="text1"/>
        </w:rPr>
        <w:t>nions</w:t>
      </w:r>
      <w:r w:rsidR="00F96319">
        <w:rPr>
          <w:rStyle w:val="normaltextrun"/>
          <w:bCs/>
          <w:noProof/>
          <w:color w:val="000000" w:themeColor="text1"/>
        </w:rPr>
        <w:t xml:space="preserve"> had a clear preference for c</w:t>
      </w:r>
      <w:r w:rsidR="00F96319" w:rsidRPr="008C76ED">
        <w:rPr>
          <w:rStyle w:val="normaltextrun"/>
          <w:bCs/>
          <w:noProof/>
          <w:color w:val="000000" w:themeColor="text1"/>
        </w:rPr>
        <w:t xml:space="preserve">ontributions from private investors, </w:t>
      </w:r>
      <w:r w:rsidR="00F96319">
        <w:rPr>
          <w:rStyle w:val="normaltextrun"/>
          <w:bCs/>
          <w:noProof/>
          <w:color w:val="000000" w:themeColor="text1"/>
        </w:rPr>
        <w:t>e</w:t>
      </w:r>
      <w:r w:rsidR="00F96319" w:rsidRPr="008C76ED">
        <w:rPr>
          <w:rStyle w:val="normaltextrun"/>
          <w:bCs/>
          <w:noProof/>
          <w:color w:val="000000" w:themeColor="text1"/>
        </w:rPr>
        <w:t>quity-based crowdfunding</w:t>
      </w:r>
      <w:r w:rsidR="00F96319">
        <w:rPr>
          <w:rStyle w:val="normaltextrun"/>
          <w:bCs/>
          <w:noProof/>
          <w:color w:val="000000" w:themeColor="text1"/>
        </w:rPr>
        <w:t xml:space="preserve"> and a</w:t>
      </w:r>
      <w:r w:rsidR="00F96319" w:rsidRPr="008C76ED">
        <w:rPr>
          <w:rStyle w:val="normaltextrun"/>
          <w:bCs/>
          <w:noProof/>
          <w:color w:val="000000" w:themeColor="text1"/>
        </w:rPr>
        <w:t>ccess to SME Growth markets</w:t>
      </w:r>
      <w:r w:rsidR="00F96319">
        <w:rPr>
          <w:rStyle w:val="normaltextrun"/>
          <w:bCs/>
          <w:noProof/>
          <w:color w:val="000000" w:themeColor="text1"/>
        </w:rPr>
        <w:t xml:space="preserve"> and were against the other channels of financing.</w:t>
      </w:r>
    </w:p>
    <w:p w14:paraId="3A0B2624" w14:textId="77777777" w:rsidR="00B25DC5" w:rsidRDefault="002557E1" w:rsidP="004369AB">
      <w:pPr>
        <w:spacing w:after="120"/>
        <w:rPr>
          <w:noProof/>
        </w:rPr>
      </w:pPr>
      <w:r w:rsidRPr="007073AD">
        <w:rPr>
          <w:noProof/>
        </w:rPr>
        <w:t xml:space="preserve">73% of respondents </w:t>
      </w:r>
      <w:r w:rsidR="00E34EA4" w:rsidRPr="007073AD">
        <w:rPr>
          <w:noProof/>
        </w:rPr>
        <w:t xml:space="preserve">(across all </w:t>
      </w:r>
      <w:r w:rsidR="00415F5D" w:rsidRPr="007073AD">
        <w:rPr>
          <w:noProof/>
        </w:rPr>
        <w:t>stakeholders’ groups, except trade unions and notaries</w:t>
      </w:r>
      <w:r w:rsidR="00E34EA4" w:rsidRPr="007073AD">
        <w:rPr>
          <w:noProof/>
        </w:rPr>
        <w:t xml:space="preserve">) </w:t>
      </w:r>
      <w:r w:rsidR="00FD376B" w:rsidRPr="007073AD">
        <w:rPr>
          <w:noProof/>
        </w:rPr>
        <w:t xml:space="preserve">thought </w:t>
      </w:r>
      <w:r w:rsidRPr="007073AD">
        <w:rPr>
          <w:noProof/>
        </w:rPr>
        <w:t>that</w:t>
      </w:r>
      <w:r w:rsidRPr="001D2FB3">
        <w:rPr>
          <w:noProof/>
        </w:rPr>
        <w:t xml:space="preserve"> </w:t>
      </w:r>
      <w:r w:rsidRPr="007073AD">
        <w:rPr>
          <w:noProof/>
        </w:rPr>
        <w:t xml:space="preserve">the </w:t>
      </w:r>
      <w:r w:rsidR="00FD376B" w:rsidRPr="007073AD">
        <w:rPr>
          <w:noProof/>
        </w:rPr>
        <w:t>28</w:t>
      </w:r>
      <w:r w:rsidR="00FD376B" w:rsidRPr="007073AD">
        <w:rPr>
          <w:noProof/>
          <w:vertAlign w:val="superscript"/>
        </w:rPr>
        <w:t>th</w:t>
      </w:r>
      <w:r w:rsidR="00FD376B" w:rsidRPr="007073AD">
        <w:rPr>
          <w:noProof/>
        </w:rPr>
        <w:t xml:space="preserve"> regime corporate legal framework </w:t>
      </w:r>
      <w:r w:rsidRPr="007073AD">
        <w:rPr>
          <w:noProof/>
        </w:rPr>
        <w:t xml:space="preserve">proposal should include </w:t>
      </w:r>
      <w:r w:rsidR="00E66133" w:rsidRPr="00B9312A">
        <w:rPr>
          <w:b/>
          <w:iCs/>
          <w:noProof/>
          <w:color w:val="000000"/>
          <w:shd w:val="clear" w:color="auto" w:fill="FFFFFF"/>
        </w:rPr>
        <w:t>provisions to facilitate the eventual access of a 28</w:t>
      </w:r>
      <w:r w:rsidR="00E66133" w:rsidRPr="00CB53FF">
        <w:rPr>
          <w:b/>
          <w:noProof/>
          <w:color w:val="000000"/>
          <w:shd w:val="clear" w:color="auto" w:fill="FFFFFF"/>
          <w:vertAlign w:val="superscript"/>
        </w:rPr>
        <w:t>th</w:t>
      </w:r>
      <w:r w:rsidR="00E66133" w:rsidRPr="00B9312A">
        <w:rPr>
          <w:b/>
          <w:iCs/>
          <w:noProof/>
          <w:color w:val="000000"/>
          <w:shd w:val="clear" w:color="auto" w:fill="FFFFFF"/>
        </w:rPr>
        <w:t xml:space="preserve"> regime company to regulated markets</w:t>
      </w:r>
      <w:r w:rsidR="00E66133" w:rsidRPr="00E66133">
        <w:rPr>
          <w:bCs/>
          <w:iCs/>
          <w:noProof/>
          <w:color w:val="000000"/>
          <w:shd w:val="clear" w:color="auto" w:fill="FFFFFF"/>
        </w:rPr>
        <w:t xml:space="preserve"> as the company grows</w:t>
      </w:r>
      <w:r w:rsidR="00E66133">
        <w:rPr>
          <w:bCs/>
          <w:iCs/>
          <w:noProof/>
          <w:color w:val="000000"/>
          <w:shd w:val="clear" w:color="auto" w:fill="FFFFFF"/>
        </w:rPr>
        <w:t>;</w:t>
      </w:r>
      <w:r w:rsidR="00E66133" w:rsidRPr="007073AD">
        <w:rPr>
          <w:noProof/>
        </w:rPr>
        <w:t xml:space="preserve"> o</w:t>
      </w:r>
      <w:r w:rsidRPr="007073AD">
        <w:rPr>
          <w:noProof/>
        </w:rPr>
        <w:t xml:space="preserve">nly 6.5% were against and 20% </w:t>
      </w:r>
      <w:r w:rsidR="00E66133" w:rsidRPr="007073AD">
        <w:rPr>
          <w:noProof/>
        </w:rPr>
        <w:t xml:space="preserve">- </w:t>
      </w:r>
      <w:r w:rsidRPr="007073AD">
        <w:rPr>
          <w:noProof/>
        </w:rPr>
        <w:t>had no opinion</w:t>
      </w:r>
      <w:r w:rsidR="00E66133" w:rsidRPr="007073AD">
        <w:rPr>
          <w:noProof/>
        </w:rPr>
        <w:t>.</w:t>
      </w:r>
      <w:r w:rsidR="0023602E" w:rsidRPr="007073AD">
        <w:rPr>
          <w:noProof/>
        </w:rPr>
        <w:t xml:space="preserve"> Among those who provided additional comments, </w:t>
      </w:r>
      <w:r w:rsidR="00BE459F" w:rsidRPr="007073AD">
        <w:rPr>
          <w:noProof/>
        </w:rPr>
        <w:t xml:space="preserve">business associations noted that </w:t>
      </w:r>
      <w:r w:rsidR="00BE459F">
        <w:rPr>
          <w:noProof/>
        </w:rPr>
        <w:t>t</w:t>
      </w:r>
      <w:r w:rsidR="00BE459F" w:rsidRPr="006232A0">
        <w:rPr>
          <w:noProof/>
        </w:rPr>
        <w:t>he 28</w:t>
      </w:r>
      <w:r w:rsidR="00BE459F" w:rsidRPr="00CB53FF">
        <w:rPr>
          <w:noProof/>
          <w:vertAlign w:val="superscript"/>
        </w:rPr>
        <w:t>th</w:t>
      </w:r>
      <w:r w:rsidR="00BE459F" w:rsidRPr="006232A0">
        <w:rPr>
          <w:noProof/>
        </w:rPr>
        <w:t xml:space="preserve"> regime should be consistent with the goals set forth in the Savings and Investment Union strategy and consider the whole lifecycle of a company, </w:t>
      </w:r>
      <w:r w:rsidR="00846068">
        <w:rPr>
          <w:noProof/>
        </w:rPr>
        <w:t>and therefore</w:t>
      </w:r>
      <w:r w:rsidR="00BE459F" w:rsidRPr="006232A0">
        <w:rPr>
          <w:noProof/>
        </w:rPr>
        <w:t xml:space="preserve">, </w:t>
      </w:r>
      <w:r w:rsidR="00BE459F">
        <w:rPr>
          <w:noProof/>
        </w:rPr>
        <w:t>t</w:t>
      </w:r>
      <w:r w:rsidR="00BE459F" w:rsidRPr="006232A0">
        <w:rPr>
          <w:noProof/>
        </w:rPr>
        <w:t xml:space="preserve">he </w:t>
      </w:r>
      <w:r w:rsidR="000A10E9" w:rsidRPr="006232A0">
        <w:rPr>
          <w:noProof/>
        </w:rPr>
        <w:t>28</w:t>
      </w:r>
      <w:r w:rsidR="000A10E9" w:rsidRPr="00CB53FF">
        <w:rPr>
          <w:noProof/>
          <w:vertAlign w:val="superscript"/>
        </w:rPr>
        <w:t>th</w:t>
      </w:r>
      <w:r w:rsidR="000A10E9" w:rsidRPr="006232A0">
        <w:rPr>
          <w:noProof/>
        </w:rPr>
        <w:t xml:space="preserve"> regime </w:t>
      </w:r>
      <w:r w:rsidR="00BE459F" w:rsidRPr="006232A0">
        <w:rPr>
          <w:noProof/>
        </w:rPr>
        <w:t>legal form should be compatible with the scaling up of the company and the perspective to go public</w:t>
      </w:r>
      <w:r w:rsidR="00BE459F">
        <w:rPr>
          <w:noProof/>
        </w:rPr>
        <w:t xml:space="preserve">. </w:t>
      </w:r>
      <w:r w:rsidR="00A65A53" w:rsidRPr="00E40D59">
        <w:rPr>
          <w:noProof/>
        </w:rPr>
        <w:t>Companies</w:t>
      </w:r>
      <w:r w:rsidR="00A65A53">
        <w:rPr>
          <w:noProof/>
        </w:rPr>
        <w:t xml:space="preserve"> </w:t>
      </w:r>
      <w:r w:rsidR="00A65A53" w:rsidRPr="00E40D59">
        <w:rPr>
          <w:noProof/>
        </w:rPr>
        <w:t>and founders</w:t>
      </w:r>
      <w:r w:rsidR="00A65A53">
        <w:rPr>
          <w:noProof/>
        </w:rPr>
        <w:t xml:space="preserve"> emphasised that simplicity should be prioritised and the </w:t>
      </w:r>
      <w:r w:rsidR="00A65A53" w:rsidRPr="00E40D59">
        <w:rPr>
          <w:noProof/>
        </w:rPr>
        <w:t>facilitati</w:t>
      </w:r>
      <w:r w:rsidR="00A65A53" w:rsidRPr="6A37A337">
        <w:rPr>
          <w:noProof/>
        </w:rPr>
        <w:t xml:space="preserve">on of </w:t>
      </w:r>
      <w:r w:rsidR="00A65A53">
        <w:rPr>
          <w:noProof/>
        </w:rPr>
        <w:t xml:space="preserve">access to regulated markets should not </w:t>
      </w:r>
      <w:r w:rsidR="00A65A53" w:rsidRPr="6A37A337">
        <w:rPr>
          <w:noProof/>
        </w:rPr>
        <w:t>entail</w:t>
      </w:r>
      <w:r w:rsidR="00A65A53">
        <w:rPr>
          <w:noProof/>
        </w:rPr>
        <w:t xml:space="preserve"> a more complex corporate structure</w:t>
      </w:r>
      <w:r w:rsidR="00956FFE">
        <w:rPr>
          <w:noProof/>
        </w:rPr>
        <w:t xml:space="preserve">; and that </w:t>
      </w:r>
      <w:r w:rsidR="00A65A53">
        <w:rPr>
          <w:noProof/>
        </w:rPr>
        <w:t>t</w:t>
      </w:r>
      <w:r w:rsidR="00A65A53" w:rsidRPr="00AD43A0">
        <w:rPr>
          <w:noProof/>
        </w:rPr>
        <w:t>ransitional rules should allow a smooth progression towards more stringent transparency, reporting and governance requirements of regulated markets</w:t>
      </w:r>
      <w:r w:rsidR="00A65A53" w:rsidRPr="6A37A337">
        <w:rPr>
          <w:noProof/>
        </w:rPr>
        <w:t>,</w:t>
      </w:r>
      <w:r w:rsidR="00A65A53">
        <w:rPr>
          <w:noProof/>
        </w:rPr>
        <w:t xml:space="preserve"> which</w:t>
      </w:r>
      <w:r w:rsidR="00A65A53" w:rsidRPr="00AD43A0">
        <w:rPr>
          <w:noProof/>
        </w:rPr>
        <w:t xml:space="preserve"> would provide predictability for founders</w:t>
      </w:r>
      <w:r w:rsidR="00A65A53">
        <w:rPr>
          <w:noProof/>
        </w:rPr>
        <w:t xml:space="preserve"> and </w:t>
      </w:r>
      <w:r w:rsidR="00A65A53" w:rsidRPr="00AD43A0">
        <w:rPr>
          <w:noProof/>
        </w:rPr>
        <w:t xml:space="preserve">minority shareholders, </w:t>
      </w:r>
      <w:r w:rsidR="00A65A53" w:rsidRPr="00631E79">
        <w:rPr>
          <w:noProof/>
        </w:rPr>
        <w:t>reassure investors, and avoid painful legal restructuring later.</w:t>
      </w:r>
      <w:r w:rsidR="00DA1A36">
        <w:rPr>
          <w:noProof/>
        </w:rPr>
        <w:t xml:space="preserve"> </w:t>
      </w:r>
      <w:r w:rsidR="00105DE6">
        <w:rPr>
          <w:noProof/>
        </w:rPr>
        <w:t>S</w:t>
      </w:r>
      <w:r w:rsidR="0023602E" w:rsidRPr="007073AD">
        <w:rPr>
          <w:noProof/>
        </w:rPr>
        <w:t xml:space="preserve">ome notarial associations noted that </w:t>
      </w:r>
      <w:r w:rsidR="0023602E">
        <w:rPr>
          <w:noProof/>
        </w:rPr>
        <w:t>in case of scaling up</w:t>
      </w:r>
      <w:r w:rsidR="0023602E" w:rsidRPr="00DB6C3A">
        <w:rPr>
          <w:noProof/>
        </w:rPr>
        <w:t xml:space="preserve">, </w:t>
      </w:r>
      <w:r w:rsidR="0023602E">
        <w:rPr>
          <w:noProof/>
        </w:rPr>
        <w:t xml:space="preserve">companies </w:t>
      </w:r>
      <w:r w:rsidR="0023602E" w:rsidRPr="00DB6C3A">
        <w:rPr>
          <w:noProof/>
        </w:rPr>
        <w:t>should convert into a legal form suitable for regulated market</w:t>
      </w:r>
      <w:r w:rsidR="0023602E">
        <w:rPr>
          <w:noProof/>
        </w:rPr>
        <w:t>s, and tr</w:t>
      </w:r>
      <w:r w:rsidR="0023602E" w:rsidRPr="007073AD">
        <w:rPr>
          <w:noProof/>
        </w:rPr>
        <w:t>ade unions shared these views.</w:t>
      </w:r>
      <w:r w:rsidR="00A65A53" w:rsidRPr="00A65A53">
        <w:rPr>
          <w:noProof/>
        </w:rPr>
        <w:t xml:space="preserve"> </w:t>
      </w:r>
      <w:r w:rsidR="000A0B15">
        <w:rPr>
          <w:noProof/>
        </w:rPr>
        <w:t xml:space="preserve">A </w:t>
      </w:r>
      <w:r w:rsidR="000A0B15" w:rsidRPr="00E40D59">
        <w:rPr>
          <w:noProof/>
        </w:rPr>
        <w:t>small number of stakeholders</w:t>
      </w:r>
      <w:r w:rsidR="000A0B15">
        <w:rPr>
          <w:noProof/>
        </w:rPr>
        <w:t xml:space="preserve"> (</w:t>
      </w:r>
      <w:r w:rsidR="000A0B15" w:rsidRPr="00E40D59">
        <w:rPr>
          <w:noProof/>
        </w:rPr>
        <w:t>business associations,</w:t>
      </w:r>
      <w:r w:rsidR="000A0B15">
        <w:rPr>
          <w:noProof/>
        </w:rPr>
        <w:t xml:space="preserve"> </w:t>
      </w:r>
      <w:r w:rsidR="000A0B15" w:rsidRPr="00E40D59">
        <w:rPr>
          <w:noProof/>
        </w:rPr>
        <w:t>companies, founders and one trade union</w:t>
      </w:r>
      <w:r w:rsidR="000A0B15">
        <w:rPr>
          <w:noProof/>
        </w:rPr>
        <w:t>) considered that</w:t>
      </w:r>
      <w:r w:rsidR="000A0B15" w:rsidRPr="007073AD">
        <w:rPr>
          <w:noProof/>
        </w:rPr>
        <w:t xml:space="preserve"> including listing provisions in the 28</w:t>
      </w:r>
      <w:r w:rsidR="000A0B15" w:rsidRPr="00CB53FF">
        <w:rPr>
          <w:noProof/>
          <w:vertAlign w:val="superscript"/>
        </w:rPr>
        <w:t>th</w:t>
      </w:r>
      <w:r w:rsidR="000A0B15" w:rsidRPr="007073AD">
        <w:rPr>
          <w:noProof/>
        </w:rPr>
        <w:t xml:space="preserve"> regime risks making it </w:t>
      </w:r>
      <w:r w:rsidR="006A6097" w:rsidRPr="007073AD">
        <w:rPr>
          <w:noProof/>
        </w:rPr>
        <w:t xml:space="preserve">too </w:t>
      </w:r>
      <w:r w:rsidR="000A0B15" w:rsidRPr="007073AD">
        <w:rPr>
          <w:noProof/>
        </w:rPr>
        <w:t xml:space="preserve">complex and undermining its original purpose of supporting startups and SMEs. </w:t>
      </w:r>
      <w:r w:rsidR="004369AB">
        <w:rPr>
          <w:noProof/>
        </w:rPr>
        <w:t xml:space="preserve"> </w:t>
      </w:r>
    </w:p>
    <w:p w14:paraId="21AD197A" w14:textId="5467986D" w:rsidR="001123FF" w:rsidRDefault="00221A66" w:rsidP="00221A66">
      <w:pPr>
        <w:pStyle w:val="Heading1"/>
        <w:numPr>
          <w:ilvl w:val="0"/>
          <w:numId w:val="4"/>
        </w:numPr>
        <w:rPr>
          <w:noProof/>
        </w:rPr>
      </w:pPr>
      <w:bookmarkStart w:id="17" w:name="_Toc219390718"/>
      <w:r>
        <w:rPr>
          <w:noProof/>
        </w:rPr>
        <w:t>Feedback from the call for evidence</w:t>
      </w:r>
      <w:bookmarkEnd w:id="17"/>
    </w:p>
    <w:p w14:paraId="7C0225CD" w14:textId="191032D1" w:rsidR="003A79F7" w:rsidRPr="00D17CA8" w:rsidRDefault="00760580" w:rsidP="00D17CA8">
      <w:pPr>
        <w:spacing w:after="120"/>
        <w:rPr>
          <w:noProof/>
        </w:rPr>
      </w:pPr>
      <w:r>
        <w:rPr>
          <w:noProof/>
        </w:rPr>
        <w:t xml:space="preserve">The table below summarises the main topics addressed by </w:t>
      </w:r>
      <w:r w:rsidR="003A212F" w:rsidRPr="007073AD">
        <w:rPr>
          <w:noProof/>
        </w:rPr>
        <w:t xml:space="preserve">879 </w:t>
      </w:r>
      <w:r>
        <w:rPr>
          <w:noProof/>
        </w:rPr>
        <w:t xml:space="preserve">respondents </w:t>
      </w:r>
      <w:r w:rsidR="00B874A5">
        <w:rPr>
          <w:noProof/>
        </w:rPr>
        <w:t xml:space="preserve">who specifically replied </w:t>
      </w:r>
      <w:r>
        <w:rPr>
          <w:noProof/>
        </w:rPr>
        <w:t>to the call for evidence</w:t>
      </w:r>
      <w:r w:rsidR="00411A2C">
        <w:rPr>
          <w:noProof/>
        </w:rPr>
        <w:t>, published in parallel with the public consultation document on the 28</w:t>
      </w:r>
      <w:r w:rsidR="00411A2C" w:rsidRPr="00411A2C">
        <w:rPr>
          <w:noProof/>
          <w:vertAlign w:val="superscript"/>
        </w:rPr>
        <w:t>th</w:t>
      </w:r>
      <w:r w:rsidR="00411A2C">
        <w:rPr>
          <w:noProof/>
        </w:rPr>
        <w:t xml:space="preserve"> regime</w:t>
      </w:r>
      <w:r>
        <w:rPr>
          <w:noProof/>
        </w:rPr>
        <w:t>.</w:t>
      </w:r>
      <w:r w:rsidR="00316734">
        <w:rPr>
          <w:noProof/>
        </w:rPr>
        <w:t xml:space="preserve"> </w:t>
      </w:r>
    </w:p>
    <w:tbl>
      <w:tblPr>
        <w:tblStyle w:val="TableGrid"/>
        <w:tblW w:w="9016" w:type="dxa"/>
        <w:tblLook w:val="04A0" w:firstRow="1" w:lastRow="0" w:firstColumn="1" w:lastColumn="0" w:noHBand="0" w:noVBand="1"/>
      </w:tblPr>
      <w:tblGrid>
        <w:gridCol w:w="1462"/>
        <w:gridCol w:w="2151"/>
        <w:gridCol w:w="1598"/>
        <w:gridCol w:w="3805"/>
      </w:tblGrid>
      <w:tr w:rsidR="00D17CA8" w:rsidRPr="00D17CA8" w14:paraId="178DE609" w14:textId="77777777" w:rsidTr="00961910">
        <w:tc>
          <w:tcPr>
            <w:tcW w:w="1462" w:type="dxa"/>
          </w:tcPr>
          <w:p w14:paraId="1F566CC7" w14:textId="1E771112" w:rsidR="00D17CA8" w:rsidRPr="00052B95" w:rsidRDefault="00D17CA8" w:rsidP="00052B95">
            <w:pPr>
              <w:jc w:val="center"/>
              <w:rPr>
                <w:b/>
                <w:noProof/>
              </w:rPr>
            </w:pPr>
            <w:r w:rsidRPr="00052B95">
              <w:rPr>
                <w:b/>
                <w:noProof/>
              </w:rPr>
              <w:t>Subject</w:t>
            </w:r>
          </w:p>
        </w:tc>
        <w:tc>
          <w:tcPr>
            <w:tcW w:w="2151" w:type="dxa"/>
          </w:tcPr>
          <w:p w14:paraId="5197D70C" w14:textId="77777777" w:rsidR="00D17CA8" w:rsidRPr="00052B95" w:rsidRDefault="00D17CA8" w:rsidP="00052B95">
            <w:pPr>
              <w:jc w:val="center"/>
              <w:rPr>
                <w:b/>
                <w:noProof/>
              </w:rPr>
            </w:pPr>
            <w:r w:rsidRPr="00052B95">
              <w:rPr>
                <w:b/>
                <w:noProof/>
              </w:rPr>
              <w:t>Main Idea</w:t>
            </w:r>
          </w:p>
        </w:tc>
        <w:tc>
          <w:tcPr>
            <w:tcW w:w="1598" w:type="dxa"/>
          </w:tcPr>
          <w:p w14:paraId="4921CF82" w14:textId="58D6AA17" w:rsidR="00D17CA8" w:rsidRPr="00052B95" w:rsidRDefault="00D17CA8" w:rsidP="00052B95">
            <w:pPr>
              <w:jc w:val="center"/>
              <w:rPr>
                <w:b/>
                <w:noProof/>
              </w:rPr>
            </w:pPr>
            <w:r w:rsidRPr="00052B95">
              <w:rPr>
                <w:b/>
                <w:noProof/>
              </w:rPr>
              <w:t>Magnitude</w:t>
            </w:r>
          </w:p>
        </w:tc>
        <w:tc>
          <w:tcPr>
            <w:tcW w:w="3805" w:type="dxa"/>
          </w:tcPr>
          <w:p w14:paraId="31229A80" w14:textId="2F9979C0" w:rsidR="00D17CA8" w:rsidRPr="00052B95" w:rsidRDefault="005A2CE4" w:rsidP="00052B95">
            <w:pPr>
              <w:jc w:val="center"/>
              <w:rPr>
                <w:b/>
                <w:noProof/>
              </w:rPr>
            </w:pPr>
            <w:r>
              <w:rPr>
                <w:b/>
                <w:noProof/>
              </w:rPr>
              <w:t>Views expressed</w:t>
            </w:r>
          </w:p>
        </w:tc>
      </w:tr>
      <w:tr w:rsidR="00DD58AB" w:rsidRPr="00D17CA8" w14:paraId="7D904BF4" w14:textId="77777777" w:rsidTr="00961910">
        <w:trPr>
          <w:trHeight w:val="1154"/>
        </w:trPr>
        <w:tc>
          <w:tcPr>
            <w:tcW w:w="1462" w:type="dxa"/>
            <w:vMerge w:val="restart"/>
          </w:tcPr>
          <w:p w14:paraId="39BEB053" w14:textId="77777777" w:rsidR="00DD58AB" w:rsidRPr="00716B82" w:rsidRDefault="00DD58AB">
            <w:pPr>
              <w:rPr>
                <w:b/>
                <w:noProof/>
                <w:sz w:val="20"/>
                <w:szCs w:val="20"/>
              </w:rPr>
            </w:pPr>
            <w:r w:rsidRPr="00716B82">
              <w:rPr>
                <w:b/>
                <w:noProof/>
                <w:sz w:val="20"/>
                <w:szCs w:val="20"/>
              </w:rPr>
              <w:t>The concept of the 28</w:t>
            </w:r>
            <w:r w:rsidRPr="00716B82">
              <w:rPr>
                <w:b/>
                <w:noProof/>
                <w:sz w:val="20"/>
                <w:szCs w:val="20"/>
                <w:vertAlign w:val="superscript"/>
              </w:rPr>
              <w:t>th</w:t>
            </w:r>
            <w:r w:rsidRPr="00716B82">
              <w:rPr>
                <w:b/>
                <w:noProof/>
                <w:sz w:val="20"/>
                <w:szCs w:val="20"/>
              </w:rPr>
              <w:t xml:space="preserve"> regime </w:t>
            </w:r>
          </w:p>
        </w:tc>
        <w:tc>
          <w:tcPr>
            <w:tcW w:w="2151" w:type="dxa"/>
          </w:tcPr>
          <w:p w14:paraId="002C8227" w14:textId="2174A5ED" w:rsidR="00DD58AB" w:rsidRPr="00D17CA8" w:rsidRDefault="00DD58AB" w:rsidP="00694359">
            <w:pPr>
              <w:jc w:val="left"/>
              <w:rPr>
                <w:noProof/>
                <w:sz w:val="20"/>
                <w:szCs w:val="20"/>
              </w:rPr>
            </w:pPr>
            <w:r w:rsidRPr="00D17CA8">
              <w:rPr>
                <w:noProof/>
                <w:sz w:val="20"/>
                <w:szCs w:val="20"/>
              </w:rPr>
              <w:t>A very interesting initiative</w:t>
            </w:r>
          </w:p>
        </w:tc>
        <w:tc>
          <w:tcPr>
            <w:tcW w:w="1598" w:type="dxa"/>
          </w:tcPr>
          <w:p w14:paraId="328DC2B9" w14:textId="6BE8B9CB" w:rsidR="00DD58AB" w:rsidRPr="00D17CA8" w:rsidRDefault="005A2CE4">
            <w:pPr>
              <w:rPr>
                <w:noProof/>
                <w:sz w:val="20"/>
                <w:szCs w:val="20"/>
              </w:rPr>
            </w:pPr>
            <w:r>
              <w:rPr>
                <w:noProof/>
                <w:sz w:val="20"/>
                <w:szCs w:val="20"/>
              </w:rPr>
              <w:t>Most</w:t>
            </w:r>
            <w:r w:rsidR="00453CB8">
              <w:rPr>
                <w:noProof/>
                <w:sz w:val="20"/>
                <w:szCs w:val="20"/>
              </w:rPr>
              <w:t xml:space="preserve"> respondents</w:t>
            </w:r>
            <w:r w:rsidR="00DD58AB" w:rsidRPr="00D17CA8">
              <w:rPr>
                <w:noProof/>
                <w:sz w:val="20"/>
                <w:szCs w:val="20"/>
              </w:rPr>
              <w:t xml:space="preserve"> </w:t>
            </w:r>
          </w:p>
        </w:tc>
        <w:tc>
          <w:tcPr>
            <w:tcW w:w="3805" w:type="dxa"/>
          </w:tcPr>
          <w:p w14:paraId="0373F23A" w14:textId="01FEC673" w:rsidR="00DD58AB" w:rsidRPr="00D17CA8" w:rsidRDefault="00C13F37" w:rsidP="00716B82">
            <w:pPr>
              <w:spacing w:after="0"/>
              <w:rPr>
                <w:rFonts w:eastAsiaTheme="minorEastAsia"/>
                <w:noProof/>
                <w:sz w:val="20"/>
                <w:szCs w:val="20"/>
              </w:rPr>
            </w:pPr>
            <w:r>
              <w:rPr>
                <w:rFonts w:eastAsiaTheme="minorEastAsia"/>
                <w:noProof/>
                <w:sz w:val="20"/>
                <w:szCs w:val="20"/>
              </w:rPr>
              <w:t>-</w:t>
            </w:r>
            <w:r w:rsidR="00DD58AB" w:rsidRPr="00D17CA8">
              <w:rPr>
                <w:rFonts w:eastAsiaTheme="minorEastAsia"/>
                <w:noProof/>
                <w:sz w:val="20"/>
                <w:szCs w:val="20"/>
              </w:rPr>
              <w:t xml:space="preserve">To improve the common market: </w:t>
            </w:r>
          </w:p>
          <w:p w14:paraId="12204555" w14:textId="59D0A757" w:rsidR="00DD58AB" w:rsidRPr="00D17CA8" w:rsidRDefault="00B01798" w:rsidP="00716B82">
            <w:pPr>
              <w:spacing w:after="0"/>
              <w:rPr>
                <w:rFonts w:eastAsiaTheme="minorEastAsia"/>
                <w:noProof/>
                <w:sz w:val="20"/>
                <w:szCs w:val="20"/>
              </w:rPr>
            </w:pPr>
            <w:r>
              <w:rPr>
                <w:rFonts w:eastAsiaTheme="minorEastAsia"/>
                <w:noProof/>
                <w:sz w:val="20"/>
                <w:szCs w:val="20"/>
              </w:rPr>
              <w:t>-</w:t>
            </w:r>
            <w:r w:rsidR="00DD58AB">
              <w:rPr>
                <w:rFonts w:eastAsiaTheme="minorEastAsia"/>
                <w:noProof/>
                <w:sz w:val="20"/>
                <w:szCs w:val="20"/>
              </w:rPr>
              <w:t>T</w:t>
            </w:r>
            <w:r w:rsidR="00DD58AB" w:rsidRPr="00D17CA8">
              <w:rPr>
                <w:rFonts w:eastAsiaTheme="minorEastAsia"/>
                <w:noProof/>
                <w:sz w:val="20"/>
                <w:szCs w:val="20"/>
              </w:rPr>
              <w:t>o trade without facing 27 different national systems,</w:t>
            </w:r>
          </w:p>
          <w:p w14:paraId="7A7D58F7" w14:textId="544811A0" w:rsidR="00DD58AB" w:rsidRDefault="00B01798" w:rsidP="00CB53FF">
            <w:pPr>
              <w:spacing w:after="120"/>
              <w:rPr>
                <w:rFonts w:eastAsiaTheme="minorEastAsia"/>
                <w:noProof/>
                <w:sz w:val="20"/>
                <w:szCs w:val="20"/>
              </w:rPr>
            </w:pPr>
            <w:r>
              <w:rPr>
                <w:rFonts w:eastAsiaTheme="minorEastAsia"/>
                <w:noProof/>
                <w:sz w:val="20"/>
                <w:szCs w:val="20"/>
              </w:rPr>
              <w:t>-</w:t>
            </w:r>
            <w:r w:rsidR="00DD58AB">
              <w:rPr>
                <w:rFonts w:eastAsiaTheme="minorEastAsia"/>
                <w:noProof/>
                <w:sz w:val="20"/>
                <w:szCs w:val="20"/>
              </w:rPr>
              <w:t>T</w:t>
            </w:r>
            <w:r w:rsidR="00DD58AB" w:rsidRPr="00D17CA8">
              <w:rPr>
                <w:rFonts w:eastAsiaTheme="minorEastAsia"/>
                <w:noProof/>
                <w:sz w:val="20"/>
                <w:szCs w:val="20"/>
              </w:rPr>
              <w:t>o remove bureaucracy (time and cost)</w:t>
            </w:r>
          </w:p>
          <w:p w14:paraId="03C992E9" w14:textId="4C820522" w:rsidR="003A5A46" w:rsidRPr="00D17CA8" w:rsidRDefault="003A5A46" w:rsidP="00B01798">
            <w:pPr>
              <w:spacing w:after="0"/>
              <w:rPr>
                <w:rFonts w:eastAsiaTheme="minorEastAsia"/>
                <w:noProof/>
                <w:color w:val="000000" w:themeColor="text1"/>
                <w:sz w:val="20"/>
                <w:szCs w:val="20"/>
              </w:rPr>
            </w:pPr>
            <w:r w:rsidRPr="00D17CA8">
              <w:rPr>
                <w:rFonts w:eastAsiaTheme="minorEastAsia"/>
                <w:noProof/>
                <w:color w:val="000000" w:themeColor="text1"/>
                <w:sz w:val="20"/>
                <w:szCs w:val="20"/>
              </w:rPr>
              <w:t>-</w:t>
            </w:r>
            <w:r>
              <w:rPr>
                <w:rFonts w:eastAsiaTheme="minorEastAsia"/>
                <w:noProof/>
                <w:color w:val="000000" w:themeColor="text1"/>
                <w:sz w:val="20"/>
                <w:szCs w:val="20"/>
              </w:rPr>
              <w:t>I</w:t>
            </w:r>
            <w:r w:rsidRPr="00D17CA8">
              <w:rPr>
                <w:rFonts w:eastAsiaTheme="minorEastAsia"/>
                <w:noProof/>
                <w:color w:val="000000" w:themeColor="text1"/>
                <w:sz w:val="20"/>
                <w:szCs w:val="20"/>
              </w:rPr>
              <w:t xml:space="preserve">t does not allow for the admission of a new </w:t>
            </w:r>
            <w:r w:rsidRPr="00D17CA8" w:rsidDel="009E0EEA">
              <w:rPr>
                <w:rFonts w:eastAsiaTheme="minorEastAsia"/>
                <w:noProof/>
                <w:color w:val="000000" w:themeColor="text1"/>
                <w:sz w:val="20"/>
                <w:szCs w:val="20"/>
              </w:rPr>
              <w:t>M</w:t>
            </w:r>
            <w:r w:rsidR="009A20FA">
              <w:rPr>
                <w:rFonts w:eastAsiaTheme="minorEastAsia"/>
                <w:noProof/>
                <w:color w:val="000000" w:themeColor="text1"/>
                <w:sz w:val="20"/>
                <w:szCs w:val="20"/>
              </w:rPr>
              <w:t xml:space="preserve">ember </w:t>
            </w:r>
            <w:r w:rsidRPr="00D17CA8" w:rsidDel="009E0EEA">
              <w:rPr>
                <w:rFonts w:eastAsiaTheme="minorEastAsia"/>
                <w:noProof/>
                <w:color w:val="000000" w:themeColor="text1"/>
                <w:sz w:val="20"/>
                <w:szCs w:val="20"/>
              </w:rPr>
              <w:t>S</w:t>
            </w:r>
            <w:r w:rsidR="009A20FA">
              <w:rPr>
                <w:rFonts w:eastAsiaTheme="minorEastAsia"/>
                <w:noProof/>
                <w:color w:val="000000" w:themeColor="text1"/>
                <w:sz w:val="20"/>
                <w:szCs w:val="20"/>
              </w:rPr>
              <w:t>tate</w:t>
            </w:r>
            <w:r w:rsidRPr="00D17CA8">
              <w:rPr>
                <w:rFonts w:eastAsiaTheme="minorEastAsia"/>
                <w:noProof/>
                <w:color w:val="000000" w:themeColor="text1"/>
                <w:sz w:val="20"/>
                <w:szCs w:val="20"/>
              </w:rPr>
              <w:t>.</w:t>
            </w:r>
          </w:p>
          <w:p w14:paraId="7328C166" w14:textId="5056CCE8" w:rsidR="00DD58AB" w:rsidRPr="00DD58AB" w:rsidRDefault="003A5A46" w:rsidP="00CB53FF">
            <w:pPr>
              <w:spacing w:after="120"/>
              <w:rPr>
                <w:rFonts w:eastAsiaTheme="minorEastAsia"/>
                <w:noProof/>
                <w:sz w:val="20"/>
                <w:szCs w:val="20"/>
              </w:rPr>
            </w:pPr>
            <w:r w:rsidRPr="00D17CA8">
              <w:rPr>
                <w:rFonts w:eastAsiaTheme="minorEastAsia"/>
                <w:noProof/>
                <w:color w:val="000000" w:themeColor="text1"/>
                <w:sz w:val="20"/>
                <w:szCs w:val="20"/>
              </w:rPr>
              <w:t>-It suggests a framework detached from Member States.</w:t>
            </w:r>
          </w:p>
        </w:tc>
      </w:tr>
      <w:tr w:rsidR="00DD58AB" w:rsidRPr="00D17CA8" w14:paraId="1A694522" w14:textId="77777777" w:rsidTr="00961910">
        <w:trPr>
          <w:trHeight w:val="274"/>
        </w:trPr>
        <w:tc>
          <w:tcPr>
            <w:tcW w:w="1462" w:type="dxa"/>
            <w:vMerge/>
          </w:tcPr>
          <w:p w14:paraId="465D8C97" w14:textId="77777777" w:rsidR="00DD58AB" w:rsidRPr="00D17CA8" w:rsidRDefault="00DD58AB">
            <w:pPr>
              <w:rPr>
                <w:noProof/>
                <w:sz w:val="20"/>
                <w:szCs w:val="20"/>
              </w:rPr>
            </w:pPr>
          </w:p>
        </w:tc>
        <w:tc>
          <w:tcPr>
            <w:tcW w:w="2151" w:type="dxa"/>
          </w:tcPr>
          <w:p w14:paraId="0DE747F0" w14:textId="14444A64" w:rsidR="00DD58AB" w:rsidRPr="00D17CA8" w:rsidRDefault="004D2B78" w:rsidP="00694359">
            <w:pPr>
              <w:jc w:val="left"/>
              <w:rPr>
                <w:noProof/>
                <w:sz w:val="20"/>
                <w:szCs w:val="20"/>
              </w:rPr>
            </w:pPr>
            <w:r>
              <w:rPr>
                <w:noProof/>
                <w:sz w:val="20"/>
                <w:szCs w:val="20"/>
              </w:rPr>
              <w:t>Providing</w:t>
            </w:r>
            <w:r w:rsidR="007C7401">
              <w:rPr>
                <w:noProof/>
                <w:sz w:val="20"/>
                <w:szCs w:val="20"/>
              </w:rPr>
              <w:t xml:space="preserve"> a </w:t>
            </w:r>
            <w:r w:rsidR="002529A3">
              <w:rPr>
                <w:noProof/>
                <w:sz w:val="20"/>
                <w:szCs w:val="20"/>
              </w:rPr>
              <w:t xml:space="preserve">telling name </w:t>
            </w:r>
            <w:r w:rsidR="007C7401">
              <w:rPr>
                <w:noProof/>
                <w:sz w:val="20"/>
                <w:szCs w:val="20"/>
              </w:rPr>
              <w:t>(not calling it 28</w:t>
            </w:r>
            <w:r w:rsidR="007C7401" w:rsidRPr="00210F02">
              <w:rPr>
                <w:noProof/>
                <w:sz w:val="20"/>
                <w:szCs w:val="20"/>
                <w:vertAlign w:val="superscript"/>
              </w:rPr>
              <w:t>th</w:t>
            </w:r>
            <w:r w:rsidR="007C7401">
              <w:rPr>
                <w:noProof/>
                <w:sz w:val="20"/>
                <w:szCs w:val="20"/>
              </w:rPr>
              <w:t xml:space="preserve"> regime company) </w:t>
            </w:r>
          </w:p>
        </w:tc>
        <w:tc>
          <w:tcPr>
            <w:tcW w:w="1598" w:type="dxa"/>
          </w:tcPr>
          <w:p w14:paraId="7CBF75CF" w14:textId="10B3121B" w:rsidR="00DD58AB" w:rsidRPr="00D17CA8" w:rsidRDefault="00DD58AB">
            <w:pPr>
              <w:rPr>
                <w:noProof/>
                <w:sz w:val="20"/>
                <w:szCs w:val="20"/>
              </w:rPr>
            </w:pPr>
            <w:r w:rsidRPr="00D17CA8">
              <w:rPr>
                <w:noProof/>
                <w:sz w:val="20"/>
                <w:szCs w:val="20"/>
              </w:rPr>
              <w:t>A few responses</w:t>
            </w:r>
          </w:p>
        </w:tc>
        <w:tc>
          <w:tcPr>
            <w:tcW w:w="3805" w:type="dxa"/>
          </w:tcPr>
          <w:p w14:paraId="58178C2B" w14:textId="5E6A204E" w:rsidR="00DD58AB" w:rsidRPr="00D17CA8" w:rsidRDefault="00F2021E" w:rsidP="00CB53FF">
            <w:pPr>
              <w:spacing w:after="0"/>
              <w:rPr>
                <w:rFonts w:eastAsiaTheme="minorEastAsia"/>
                <w:noProof/>
                <w:sz w:val="20"/>
                <w:szCs w:val="20"/>
              </w:rPr>
            </w:pPr>
            <w:r w:rsidRPr="00F2021E">
              <w:rPr>
                <w:rFonts w:eastAsiaTheme="minorEastAsia"/>
                <w:noProof/>
                <w:color w:val="000000" w:themeColor="text1"/>
                <w:sz w:val="20"/>
                <w:szCs w:val="20"/>
              </w:rPr>
              <w:t>Its name and abbreviation should not include a reference to startups and scaleups (as all companies should be eligible).</w:t>
            </w:r>
          </w:p>
        </w:tc>
      </w:tr>
      <w:tr w:rsidR="00D17CA8" w:rsidRPr="00D17CA8" w14:paraId="406FF887" w14:textId="77777777" w:rsidTr="00961910">
        <w:trPr>
          <w:trHeight w:val="973"/>
        </w:trPr>
        <w:tc>
          <w:tcPr>
            <w:tcW w:w="1462" w:type="dxa"/>
            <w:vMerge w:val="restart"/>
          </w:tcPr>
          <w:p w14:paraId="23BED10B" w14:textId="77777777" w:rsidR="00D17CA8" w:rsidRPr="008B27D3" w:rsidRDefault="00D17CA8">
            <w:pPr>
              <w:rPr>
                <w:b/>
                <w:noProof/>
                <w:sz w:val="20"/>
                <w:szCs w:val="20"/>
              </w:rPr>
            </w:pPr>
            <w:r w:rsidRPr="008B27D3">
              <w:rPr>
                <w:b/>
                <w:noProof/>
                <w:sz w:val="20"/>
                <w:szCs w:val="20"/>
              </w:rPr>
              <w:t>Corp</w:t>
            </w:r>
            <w:r w:rsidR="00E42B4F" w:rsidRPr="008B27D3">
              <w:rPr>
                <w:b/>
                <w:noProof/>
                <w:sz w:val="20"/>
                <w:szCs w:val="20"/>
              </w:rPr>
              <w:t>o</w:t>
            </w:r>
            <w:r w:rsidRPr="008B27D3">
              <w:rPr>
                <w:b/>
                <w:noProof/>
                <w:sz w:val="20"/>
                <w:szCs w:val="20"/>
              </w:rPr>
              <w:t xml:space="preserve">rate form </w:t>
            </w:r>
          </w:p>
        </w:tc>
        <w:tc>
          <w:tcPr>
            <w:tcW w:w="2151" w:type="dxa"/>
          </w:tcPr>
          <w:p w14:paraId="7079D68E" w14:textId="59637537" w:rsidR="00D17CA8" w:rsidRPr="00D17CA8" w:rsidRDefault="00D17CA8" w:rsidP="00CB53FF">
            <w:pPr>
              <w:spacing w:after="120"/>
              <w:rPr>
                <w:noProof/>
                <w:sz w:val="20"/>
                <w:szCs w:val="20"/>
              </w:rPr>
            </w:pPr>
            <w:r w:rsidRPr="00D17CA8">
              <w:rPr>
                <w:noProof/>
                <w:sz w:val="20"/>
                <w:szCs w:val="20"/>
              </w:rPr>
              <w:t>An EU corporate form</w:t>
            </w:r>
            <w:r w:rsidR="00D235D7">
              <w:rPr>
                <w:noProof/>
                <w:sz w:val="20"/>
                <w:szCs w:val="20"/>
              </w:rPr>
              <w:t xml:space="preserve"> </w:t>
            </w:r>
          </w:p>
        </w:tc>
        <w:tc>
          <w:tcPr>
            <w:tcW w:w="1598" w:type="dxa"/>
          </w:tcPr>
          <w:p w14:paraId="5E176778" w14:textId="56252F9E" w:rsidR="00D17CA8" w:rsidRPr="00D17CA8" w:rsidRDefault="00D17CA8" w:rsidP="00694359">
            <w:pPr>
              <w:spacing w:after="120"/>
              <w:jc w:val="left"/>
              <w:rPr>
                <w:noProof/>
                <w:sz w:val="20"/>
                <w:szCs w:val="20"/>
              </w:rPr>
            </w:pPr>
            <w:r w:rsidRPr="00D17CA8">
              <w:rPr>
                <w:noProof/>
                <w:sz w:val="20"/>
                <w:szCs w:val="20"/>
              </w:rPr>
              <w:t xml:space="preserve">A majority (with exception of some </w:t>
            </w:r>
            <w:r w:rsidRPr="00CB53FF">
              <w:rPr>
                <w:noProof/>
                <w:sz w:val="20"/>
                <w:szCs w:val="20"/>
              </w:rPr>
              <w:t>associations</w:t>
            </w:r>
            <w:r w:rsidRPr="00D17CA8">
              <w:rPr>
                <w:noProof/>
                <w:sz w:val="20"/>
                <w:szCs w:val="20"/>
              </w:rPr>
              <w:t xml:space="preserve"> due to </w:t>
            </w:r>
            <w:r w:rsidR="005A6F11">
              <w:rPr>
                <w:noProof/>
                <w:sz w:val="20"/>
                <w:szCs w:val="20"/>
              </w:rPr>
              <w:t xml:space="preserve">perceived </w:t>
            </w:r>
            <w:r w:rsidRPr="00D17CA8">
              <w:rPr>
                <w:noProof/>
                <w:sz w:val="20"/>
                <w:szCs w:val="20"/>
              </w:rPr>
              <w:t xml:space="preserve">risk </w:t>
            </w:r>
            <w:r w:rsidR="00085DB5">
              <w:rPr>
                <w:noProof/>
                <w:sz w:val="20"/>
                <w:szCs w:val="20"/>
              </w:rPr>
              <w:t>regarding</w:t>
            </w:r>
            <w:r w:rsidRPr="00D17CA8">
              <w:rPr>
                <w:noProof/>
                <w:sz w:val="20"/>
                <w:szCs w:val="20"/>
              </w:rPr>
              <w:t xml:space="preserve"> social law matters</w:t>
            </w:r>
            <w:r w:rsidR="00B41BD7">
              <w:rPr>
                <w:noProof/>
                <w:sz w:val="20"/>
                <w:szCs w:val="20"/>
              </w:rPr>
              <w:t>)</w:t>
            </w:r>
          </w:p>
        </w:tc>
        <w:tc>
          <w:tcPr>
            <w:tcW w:w="3805" w:type="dxa"/>
          </w:tcPr>
          <w:p w14:paraId="37EAA95C" w14:textId="6BA0B150" w:rsidR="00D17CA8" w:rsidRPr="00D17CA8" w:rsidRDefault="00D17CA8" w:rsidP="00CB53FF">
            <w:pPr>
              <w:spacing w:after="120"/>
              <w:rPr>
                <w:noProof/>
                <w:sz w:val="20"/>
                <w:szCs w:val="20"/>
              </w:rPr>
            </w:pPr>
            <w:r w:rsidRPr="00D17CA8">
              <w:rPr>
                <w:noProof/>
                <w:sz w:val="20"/>
                <w:szCs w:val="20"/>
              </w:rPr>
              <w:t>A single and autonomous entity which can operate across all Member States (without the need of branches or subsidiaries)</w:t>
            </w:r>
          </w:p>
        </w:tc>
      </w:tr>
      <w:tr w:rsidR="00C01CD6" w:rsidRPr="00D17CA8" w14:paraId="12DD1E7C" w14:textId="77777777" w:rsidTr="00961910">
        <w:trPr>
          <w:trHeight w:val="1164"/>
        </w:trPr>
        <w:tc>
          <w:tcPr>
            <w:tcW w:w="1462" w:type="dxa"/>
            <w:vMerge/>
          </w:tcPr>
          <w:p w14:paraId="2D1FD678" w14:textId="77777777" w:rsidR="00C01CD6" w:rsidRPr="00D17CA8" w:rsidRDefault="00C01CD6">
            <w:pPr>
              <w:rPr>
                <w:noProof/>
                <w:sz w:val="20"/>
                <w:szCs w:val="20"/>
              </w:rPr>
            </w:pPr>
          </w:p>
        </w:tc>
        <w:tc>
          <w:tcPr>
            <w:tcW w:w="2151" w:type="dxa"/>
          </w:tcPr>
          <w:p w14:paraId="5AACDA4E" w14:textId="77777777" w:rsidR="00265949" w:rsidRPr="00D17CA8" w:rsidRDefault="00265949" w:rsidP="00694359">
            <w:pPr>
              <w:spacing w:after="120"/>
              <w:jc w:val="left"/>
              <w:rPr>
                <w:noProof/>
                <w:sz w:val="20"/>
                <w:szCs w:val="20"/>
              </w:rPr>
            </w:pPr>
            <w:r w:rsidRPr="00D17CA8">
              <w:rPr>
                <w:noProof/>
                <w:sz w:val="20"/>
                <w:szCs w:val="20"/>
              </w:rPr>
              <w:t>A harmonized entity in each Member State</w:t>
            </w:r>
          </w:p>
          <w:p w14:paraId="3973911C" w14:textId="77777777" w:rsidR="00C01CD6" w:rsidRPr="00D17CA8" w:rsidRDefault="00C01CD6" w:rsidP="00CB53FF">
            <w:pPr>
              <w:spacing w:after="120"/>
              <w:rPr>
                <w:noProof/>
                <w:sz w:val="20"/>
                <w:szCs w:val="20"/>
              </w:rPr>
            </w:pPr>
          </w:p>
        </w:tc>
        <w:tc>
          <w:tcPr>
            <w:tcW w:w="1598" w:type="dxa"/>
          </w:tcPr>
          <w:p w14:paraId="2192BF02" w14:textId="5CED24FC" w:rsidR="00C01CD6" w:rsidRPr="00D17CA8" w:rsidRDefault="00265949" w:rsidP="00694359">
            <w:pPr>
              <w:spacing w:after="120"/>
              <w:jc w:val="left"/>
              <w:rPr>
                <w:noProof/>
                <w:sz w:val="20"/>
                <w:szCs w:val="20"/>
              </w:rPr>
            </w:pPr>
            <w:r w:rsidRPr="00D17CA8">
              <w:rPr>
                <w:noProof/>
                <w:sz w:val="20"/>
                <w:szCs w:val="20"/>
              </w:rPr>
              <w:t>A smaller number of responses</w:t>
            </w:r>
          </w:p>
        </w:tc>
        <w:tc>
          <w:tcPr>
            <w:tcW w:w="3805" w:type="dxa"/>
          </w:tcPr>
          <w:p w14:paraId="15B66F6B" w14:textId="10B0B6EF" w:rsidR="00C01CD6" w:rsidRPr="00453B2C" w:rsidRDefault="00FA663A" w:rsidP="00CB53FF">
            <w:pPr>
              <w:spacing w:after="120"/>
              <w:rPr>
                <w:noProof/>
              </w:rPr>
            </w:pPr>
            <w:r w:rsidRPr="00FA663A">
              <w:rPr>
                <w:noProof/>
                <w:sz w:val="20"/>
                <w:szCs w:val="20"/>
              </w:rPr>
              <w:t>Simplicity to expand into another M</w:t>
            </w:r>
            <w:r w:rsidR="00200F0F">
              <w:rPr>
                <w:noProof/>
                <w:sz w:val="20"/>
                <w:szCs w:val="20"/>
              </w:rPr>
              <w:t xml:space="preserve">ember </w:t>
            </w:r>
            <w:r w:rsidRPr="00FA663A">
              <w:rPr>
                <w:noProof/>
                <w:sz w:val="20"/>
                <w:szCs w:val="20"/>
              </w:rPr>
              <w:t>S</w:t>
            </w:r>
            <w:r w:rsidR="00200F0F">
              <w:rPr>
                <w:noProof/>
                <w:sz w:val="20"/>
                <w:szCs w:val="20"/>
              </w:rPr>
              <w:t>tate</w:t>
            </w:r>
            <w:r w:rsidRPr="00FA663A">
              <w:rPr>
                <w:noProof/>
                <w:sz w:val="20"/>
                <w:szCs w:val="20"/>
              </w:rPr>
              <w:t xml:space="preserve"> without friction, set up by natural or legal persons, from scratch or after conversion of an existing entit</w:t>
            </w:r>
            <w:r w:rsidR="00453B2C">
              <w:rPr>
                <w:noProof/>
                <w:sz w:val="20"/>
                <w:szCs w:val="20"/>
              </w:rPr>
              <w:t>y</w:t>
            </w:r>
          </w:p>
        </w:tc>
      </w:tr>
      <w:tr w:rsidR="00453B2C" w:rsidRPr="00D17CA8" w14:paraId="056F6567" w14:textId="77777777" w:rsidTr="00961910">
        <w:tc>
          <w:tcPr>
            <w:tcW w:w="1462" w:type="dxa"/>
            <w:vMerge/>
          </w:tcPr>
          <w:p w14:paraId="5E02C507" w14:textId="77777777" w:rsidR="00453B2C" w:rsidRPr="00D17CA8" w:rsidRDefault="00453B2C">
            <w:pPr>
              <w:rPr>
                <w:noProof/>
                <w:sz w:val="20"/>
                <w:szCs w:val="20"/>
              </w:rPr>
            </w:pPr>
          </w:p>
        </w:tc>
        <w:tc>
          <w:tcPr>
            <w:tcW w:w="2151" w:type="dxa"/>
          </w:tcPr>
          <w:p w14:paraId="4BAC51A7" w14:textId="77777777" w:rsidR="00E42B4F" w:rsidRPr="00D17CA8" w:rsidRDefault="00E42B4F" w:rsidP="00E42B4F">
            <w:pPr>
              <w:rPr>
                <w:noProof/>
                <w:sz w:val="20"/>
                <w:szCs w:val="20"/>
              </w:rPr>
            </w:pPr>
            <w:r w:rsidRPr="00D17CA8">
              <w:rPr>
                <w:noProof/>
                <w:sz w:val="20"/>
                <w:szCs w:val="20"/>
              </w:rPr>
              <w:t xml:space="preserve">Reforming the SE </w:t>
            </w:r>
          </w:p>
          <w:p w14:paraId="2B4D7F1A" w14:textId="77777777" w:rsidR="00453B2C" w:rsidRPr="00D17CA8" w:rsidRDefault="00453B2C" w:rsidP="00265949">
            <w:pPr>
              <w:rPr>
                <w:noProof/>
                <w:sz w:val="20"/>
                <w:szCs w:val="20"/>
              </w:rPr>
            </w:pPr>
          </w:p>
        </w:tc>
        <w:tc>
          <w:tcPr>
            <w:tcW w:w="1598" w:type="dxa"/>
          </w:tcPr>
          <w:p w14:paraId="0ED2182F" w14:textId="48CA2AE1" w:rsidR="00E42B4F" w:rsidRPr="008B27D3" w:rsidRDefault="00A557E7" w:rsidP="00E42B4F">
            <w:pPr>
              <w:rPr>
                <w:noProof/>
                <w:sz w:val="20"/>
                <w:szCs w:val="20"/>
              </w:rPr>
            </w:pPr>
            <w:r w:rsidRPr="008B27D3">
              <w:rPr>
                <w:noProof/>
                <w:sz w:val="20"/>
                <w:szCs w:val="20"/>
              </w:rPr>
              <w:t>A respon</w:t>
            </w:r>
            <w:r w:rsidR="00242A32" w:rsidRPr="008B27D3">
              <w:rPr>
                <w:noProof/>
                <w:sz w:val="20"/>
                <w:szCs w:val="20"/>
              </w:rPr>
              <w:t>dent</w:t>
            </w:r>
          </w:p>
          <w:p w14:paraId="5711CEF4" w14:textId="77777777" w:rsidR="00453B2C" w:rsidRPr="008B27D3" w:rsidRDefault="00453B2C" w:rsidP="00265949">
            <w:pPr>
              <w:rPr>
                <w:noProof/>
                <w:sz w:val="20"/>
                <w:szCs w:val="20"/>
              </w:rPr>
            </w:pPr>
          </w:p>
        </w:tc>
        <w:tc>
          <w:tcPr>
            <w:tcW w:w="3805" w:type="dxa"/>
          </w:tcPr>
          <w:p w14:paraId="613D3D8E" w14:textId="6666AB11" w:rsidR="00453B2C" w:rsidRDefault="00E42B4F" w:rsidP="00CB53FF">
            <w:pPr>
              <w:spacing w:after="120"/>
              <w:rPr>
                <w:noProof/>
                <w:sz w:val="20"/>
                <w:szCs w:val="20"/>
              </w:rPr>
            </w:pPr>
            <w:r w:rsidRPr="00D17CA8">
              <w:rPr>
                <w:noProof/>
                <w:sz w:val="20"/>
                <w:szCs w:val="20"/>
              </w:rPr>
              <w:t xml:space="preserve">Focus on reforming the SE to make it more accessible to SMEs and startups in order not to add another layer of laws which could generate more complexity due to the coexistence of two legal systems. </w:t>
            </w:r>
          </w:p>
        </w:tc>
      </w:tr>
      <w:tr w:rsidR="00E42B4F" w:rsidRPr="00D17CA8" w14:paraId="5374460A" w14:textId="77777777" w:rsidTr="00961910">
        <w:trPr>
          <w:trHeight w:val="1029"/>
        </w:trPr>
        <w:tc>
          <w:tcPr>
            <w:tcW w:w="1462" w:type="dxa"/>
            <w:vMerge/>
          </w:tcPr>
          <w:p w14:paraId="6DF3461F" w14:textId="77777777" w:rsidR="00E42B4F" w:rsidRPr="00D17CA8" w:rsidRDefault="00E42B4F">
            <w:pPr>
              <w:rPr>
                <w:noProof/>
                <w:sz w:val="20"/>
                <w:szCs w:val="20"/>
              </w:rPr>
            </w:pPr>
          </w:p>
        </w:tc>
        <w:tc>
          <w:tcPr>
            <w:tcW w:w="2151" w:type="dxa"/>
          </w:tcPr>
          <w:p w14:paraId="28D5FE7C" w14:textId="350E38BC" w:rsidR="00E42B4F" w:rsidRPr="00D17CA8" w:rsidRDefault="00E42B4F" w:rsidP="00694359">
            <w:pPr>
              <w:spacing w:after="120"/>
              <w:jc w:val="left"/>
              <w:rPr>
                <w:noProof/>
                <w:sz w:val="20"/>
                <w:szCs w:val="20"/>
              </w:rPr>
            </w:pPr>
            <w:r w:rsidRPr="00D17CA8">
              <w:rPr>
                <w:noProof/>
                <w:sz w:val="20"/>
                <w:szCs w:val="20"/>
              </w:rPr>
              <w:t>As a temporary measure until deeper harmonisatio</w:t>
            </w:r>
            <w:r w:rsidR="00835A1A">
              <w:rPr>
                <w:noProof/>
                <w:sz w:val="20"/>
                <w:szCs w:val="20"/>
              </w:rPr>
              <w:t>n</w:t>
            </w:r>
          </w:p>
        </w:tc>
        <w:tc>
          <w:tcPr>
            <w:tcW w:w="1598" w:type="dxa"/>
          </w:tcPr>
          <w:p w14:paraId="3490B231" w14:textId="68C72596" w:rsidR="00E42B4F" w:rsidRPr="008B27D3" w:rsidRDefault="00EB7D7D" w:rsidP="00694359">
            <w:pPr>
              <w:jc w:val="left"/>
              <w:rPr>
                <w:noProof/>
                <w:sz w:val="20"/>
                <w:szCs w:val="20"/>
              </w:rPr>
            </w:pPr>
            <w:r w:rsidRPr="008B27D3">
              <w:rPr>
                <w:noProof/>
                <w:sz w:val="20"/>
                <w:szCs w:val="20"/>
              </w:rPr>
              <w:t>A few stakeholders</w:t>
            </w:r>
          </w:p>
        </w:tc>
        <w:tc>
          <w:tcPr>
            <w:tcW w:w="3805" w:type="dxa"/>
          </w:tcPr>
          <w:p w14:paraId="2E10BECB" w14:textId="7847EC0A" w:rsidR="00E42B4F" w:rsidRDefault="00E42B4F" w:rsidP="00CB53FF">
            <w:pPr>
              <w:spacing w:after="120"/>
              <w:rPr>
                <w:noProof/>
                <w:sz w:val="20"/>
                <w:szCs w:val="20"/>
              </w:rPr>
            </w:pPr>
            <w:r w:rsidRPr="00D17CA8">
              <w:rPr>
                <w:noProof/>
                <w:sz w:val="20"/>
                <w:szCs w:val="20"/>
              </w:rPr>
              <w:t>A first step towards the development of a European Code</w:t>
            </w:r>
            <w:r>
              <w:rPr>
                <w:noProof/>
                <w:sz w:val="20"/>
                <w:szCs w:val="20"/>
              </w:rPr>
              <w:t xml:space="preserve"> </w:t>
            </w:r>
            <w:r w:rsidRPr="00D17CA8">
              <w:rPr>
                <w:noProof/>
                <w:sz w:val="20"/>
                <w:szCs w:val="20"/>
              </w:rPr>
              <w:t>(like the US Uniform Commercial Code and the OHADA)</w:t>
            </w:r>
          </w:p>
        </w:tc>
      </w:tr>
      <w:tr w:rsidR="00D17CA8" w:rsidRPr="00D17CA8" w14:paraId="7F51AE0C" w14:textId="77777777" w:rsidTr="00961910">
        <w:tc>
          <w:tcPr>
            <w:tcW w:w="1462" w:type="dxa"/>
            <w:tcBorders>
              <w:bottom w:val="single" w:sz="4" w:space="0" w:color="auto"/>
            </w:tcBorders>
          </w:tcPr>
          <w:p w14:paraId="229E1F2C" w14:textId="77777777" w:rsidR="00D17CA8" w:rsidRPr="008B27D3" w:rsidRDefault="00D17CA8">
            <w:pPr>
              <w:rPr>
                <w:b/>
                <w:noProof/>
                <w:sz w:val="20"/>
                <w:szCs w:val="20"/>
              </w:rPr>
            </w:pPr>
            <w:r w:rsidRPr="008B27D3">
              <w:rPr>
                <w:b/>
                <w:noProof/>
                <w:sz w:val="20"/>
                <w:szCs w:val="20"/>
              </w:rPr>
              <w:t xml:space="preserve">Legal basis </w:t>
            </w:r>
          </w:p>
        </w:tc>
        <w:tc>
          <w:tcPr>
            <w:tcW w:w="2151" w:type="dxa"/>
            <w:tcBorders>
              <w:bottom w:val="single" w:sz="4" w:space="0" w:color="auto"/>
            </w:tcBorders>
          </w:tcPr>
          <w:p w14:paraId="271EA371" w14:textId="6AFF62F2" w:rsidR="00D17CA8" w:rsidRPr="00D17CA8" w:rsidRDefault="00D17CA8" w:rsidP="00694359">
            <w:pPr>
              <w:jc w:val="left"/>
              <w:rPr>
                <w:noProof/>
                <w:sz w:val="20"/>
                <w:szCs w:val="20"/>
              </w:rPr>
            </w:pPr>
            <w:r w:rsidRPr="00D17CA8">
              <w:rPr>
                <w:noProof/>
                <w:sz w:val="20"/>
                <w:szCs w:val="20"/>
              </w:rPr>
              <w:t xml:space="preserve">A </w:t>
            </w:r>
            <w:r w:rsidR="005633DC">
              <w:rPr>
                <w:noProof/>
                <w:sz w:val="20"/>
                <w:szCs w:val="20"/>
              </w:rPr>
              <w:t>R</w:t>
            </w:r>
            <w:r w:rsidRPr="00D17CA8">
              <w:rPr>
                <w:noProof/>
                <w:sz w:val="20"/>
                <w:szCs w:val="20"/>
              </w:rPr>
              <w:t xml:space="preserve">egulation (rather than a </w:t>
            </w:r>
            <w:r w:rsidR="005633DC">
              <w:rPr>
                <w:noProof/>
                <w:sz w:val="20"/>
                <w:szCs w:val="20"/>
              </w:rPr>
              <w:t>D</w:t>
            </w:r>
            <w:r w:rsidRPr="00D17CA8">
              <w:rPr>
                <w:noProof/>
                <w:sz w:val="20"/>
                <w:szCs w:val="20"/>
              </w:rPr>
              <w:t>irective)</w:t>
            </w:r>
          </w:p>
        </w:tc>
        <w:tc>
          <w:tcPr>
            <w:tcW w:w="1598" w:type="dxa"/>
            <w:tcBorders>
              <w:bottom w:val="single" w:sz="4" w:space="0" w:color="auto"/>
            </w:tcBorders>
          </w:tcPr>
          <w:p w14:paraId="5D70F254" w14:textId="77777777" w:rsidR="00D17CA8" w:rsidRPr="00D17CA8" w:rsidRDefault="00D17CA8" w:rsidP="00694359">
            <w:pPr>
              <w:jc w:val="left"/>
              <w:rPr>
                <w:noProof/>
                <w:sz w:val="20"/>
                <w:szCs w:val="20"/>
              </w:rPr>
            </w:pPr>
            <w:r w:rsidRPr="00D17CA8">
              <w:rPr>
                <w:noProof/>
                <w:sz w:val="20"/>
                <w:szCs w:val="20"/>
              </w:rPr>
              <w:t xml:space="preserve">Most of the stakeholders </w:t>
            </w:r>
          </w:p>
        </w:tc>
        <w:tc>
          <w:tcPr>
            <w:tcW w:w="3805" w:type="dxa"/>
            <w:tcBorders>
              <w:bottom w:val="single" w:sz="4" w:space="0" w:color="auto"/>
            </w:tcBorders>
          </w:tcPr>
          <w:p w14:paraId="510D56E8" w14:textId="5B73A5FA" w:rsidR="00D17CA8" w:rsidRPr="00D17CA8" w:rsidRDefault="00D17CA8" w:rsidP="00CB53FF">
            <w:pPr>
              <w:spacing w:after="120"/>
              <w:rPr>
                <w:noProof/>
                <w:sz w:val="20"/>
                <w:szCs w:val="20"/>
              </w:rPr>
            </w:pPr>
            <w:r w:rsidRPr="00D17CA8">
              <w:rPr>
                <w:noProof/>
                <w:sz w:val="20"/>
                <w:szCs w:val="20"/>
              </w:rPr>
              <w:t>-For some</w:t>
            </w:r>
            <w:r w:rsidR="009D728B">
              <w:rPr>
                <w:noProof/>
                <w:sz w:val="20"/>
                <w:szCs w:val="20"/>
              </w:rPr>
              <w:t xml:space="preserve"> respondents</w:t>
            </w:r>
            <w:r w:rsidRPr="00D17CA8">
              <w:rPr>
                <w:noProof/>
                <w:sz w:val="20"/>
                <w:szCs w:val="20"/>
              </w:rPr>
              <w:t xml:space="preserve">, </w:t>
            </w:r>
            <w:r w:rsidR="005633DC">
              <w:rPr>
                <w:noProof/>
                <w:sz w:val="20"/>
                <w:szCs w:val="20"/>
              </w:rPr>
              <w:t>a R</w:t>
            </w:r>
            <w:r w:rsidRPr="00D17CA8">
              <w:rPr>
                <w:noProof/>
                <w:sz w:val="20"/>
                <w:szCs w:val="20"/>
              </w:rPr>
              <w:t>egulation means common rules</w:t>
            </w:r>
          </w:p>
          <w:p w14:paraId="3543A65B" w14:textId="32E3D2CB" w:rsidR="00D17CA8" w:rsidRPr="00D17CA8" w:rsidRDefault="00D17CA8" w:rsidP="00CB53FF">
            <w:pPr>
              <w:spacing w:after="120"/>
              <w:rPr>
                <w:noProof/>
                <w:sz w:val="20"/>
                <w:szCs w:val="20"/>
              </w:rPr>
            </w:pPr>
            <w:r w:rsidRPr="00D17CA8">
              <w:rPr>
                <w:noProof/>
                <w:sz w:val="20"/>
                <w:szCs w:val="20"/>
              </w:rPr>
              <w:t xml:space="preserve">-Others </w:t>
            </w:r>
            <w:r w:rsidR="00872D61">
              <w:rPr>
                <w:noProof/>
                <w:sz w:val="20"/>
                <w:szCs w:val="20"/>
              </w:rPr>
              <w:t>recognise</w:t>
            </w:r>
            <w:r w:rsidR="00872D61" w:rsidRPr="00D17CA8">
              <w:rPr>
                <w:noProof/>
                <w:sz w:val="20"/>
                <w:szCs w:val="20"/>
              </w:rPr>
              <w:t xml:space="preserve"> </w:t>
            </w:r>
            <w:r w:rsidRPr="00D17CA8">
              <w:rPr>
                <w:noProof/>
                <w:sz w:val="20"/>
                <w:szCs w:val="20"/>
              </w:rPr>
              <w:t xml:space="preserve">that </w:t>
            </w:r>
            <w:r w:rsidR="005633DC">
              <w:rPr>
                <w:noProof/>
                <w:sz w:val="20"/>
                <w:szCs w:val="20"/>
              </w:rPr>
              <w:t>R</w:t>
            </w:r>
            <w:r w:rsidRPr="00D17CA8">
              <w:rPr>
                <w:noProof/>
                <w:sz w:val="20"/>
                <w:szCs w:val="20"/>
              </w:rPr>
              <w:t>egulation allows for faster and more uniform adoption</w:t>
            </w:r>
          </w:p>
        </w:tc>
      </w:tr>
      <w:tr w:rsidR="00D17CA8" w:rsidRPr="00D17CA8" w14:paraId="30E0E4D0" w14:textId="77777777" w:rsidTr="00961910">
        <w:tc>
          <w:tcPr>
            <w:tcW w:w="1462" w:type="dxa"/>
            <w:tcBorders>
              <w:top w:val="single" w:sz="4" w:space="0" w:color="auto"/>
              <w:bottom w:val="single" w:sz="4" w:space="0" w:color="auto"/>
              <w:right w:val="single" w:sz="4" w:space="0" w:color="auto"/>
            </w:tcBorders>
          </w:tcPr>
          <w:p w14:paraId="7B8EFD04" w14:textId="77777777" w:rsidR="00D17CA8" w:rsidRPr="008B27D3" w:rsidRDefault="00D17CA8">
            <w:pPr>
              <w:rPr>
                <w:b/>
                <w:noProof/>
                <w:sz w:val="20"/>
                <w:szCs w:val="20"/>
              </w:rPr>
            </w:pPr>
            <w:r w:rsidRPr="008B27D3">
              <w:rPr>
                <w:b/>
                <w:noProof/>
                <w:sz w:val="20"/>
                <w:szCs w:val="20"/>
              </w:rPr>
              <w:t xml:space="preserve">Scope </w:t>
            </w:r>
          </w:p>
        </w:tc>
        <w:tc>
          <w:tcPr>
            <w:tcW w:w="2151" w:type="dxa"/>
            <w:tcBorders>
              <w:top w:val="single" w:sz="4" w:space="0" w:color="auto"/>
              <w:left w:val="single" w:sz="4" w:space="0" w:color="auto"/>
              <w:bottom w:val="single" w:sz="4" w:space="0" w:color="auto"/>
              <w:right w:val="single" w:sz="4" w:space="0" w:color="auto"/>
            </w:tcBorders>
          </w:tcPr>
          <w:p w14:paraId="378D69A1" w14:textId="77777777" w:rsidR="00D17CA8" w:rsidRPr="00D17CA8" w:rsidRDefault="00D17CA8" w:rsidP="00005B97">
            <w:pPr>
              <w:jc w:val="left"/>
              <w:rPr>
                <w:noProof/>
                <w:sz w:val="20"/>
                <w:szCs w:val="20"/>
              </w:rPr>
            </w:pPr>
            <w:r w:rsidRPr="00D17CA8">
              <w:rPr>
                <w:noProof/>
                <w:sz w:val="20"/>
                <w:szCs w:val="20"/>
              </w:rPr>
              <w:t xml:space="preserve">Not limited to innovative companies </w:t>
            </w:r>
          </w:p>
        </w:tc>
        <w:tc>
          <w:tcPr>
            <w:tcW w:w="1598" w:type="dxa"/>
            <w:tcBorders>
              <w:top w:val="single" w:sz="4" w:space="0" w:color="auto"/>
              <w:left w:val="single" w:sz="4" w:space="0" w:color="auto"/>
              <w:bottom w:val="single" w:sz="4" w:space="0" w:color="auto"/>
              <w:right w:val="single" w:sz="4" w:space="0" w:color="auto"/>
            </w:tcBorders>
          </w:tcPr>
          <w:p w14:paraId="471A23F9" w14:textId="70F4D453" w:rsidR="00D17CA8" w:rsidRPr="00D17CA8" w:rsidRDefault="00B62D6A">
            <w:pPr>
              <w:rPr>
                <w:noProof/>
                <w:sz w:val="20"/>
                <w:szCs w:val="20"/>
              </w:rPr>
            </w:pPr>
            <w:r>
              <w:rPr>
                <w:noProof/>
                <w:sz w:val="20"/>
                <w:szCs w:val="20"/>
              </w:rPr>
              <w:t>Most</w:t>
            </w:r>
            <w:r w:rsidR="00D17CA8" w:rsidRPr="00D17CA8">
              <w:rPr>
                <w:noProof/>
                <w:sz w:val="20"/>
                <w:szCs w:val="20"/>
              </w:rPr>
              <w:t xml:space="preserve"> responses</w:t>
            </w:r>
          </w:p>
        </w:tc>
        <w:tc>
          <w:tcPr>
            <w:tcW w:w="3805" w:type="dxa"/>
            <w:tcBorders>
              <w:top w:val="single" w:sz="4" w:space="0" w:color="auto"/>
              <w:left w:val="single" w:sz="4" w:space="0" w:color="auto"/>
              <w:bottom w:val="single" w:sz="4" w:space="0" w:color="auto"/>
            </w:tcBorders>
          </w:tcPr>
          <w:p w14:paraId="50E2E32B" w14:textId="77777777" w:rsidR="00D17CA8" w:rsidRPr="00D17CA8" w:rsidRDefault="00D17CA8" w:rsidP="00CB53FF">
            <w:pPr>
              <w:spacing w:after="120"/>
              <w:rPr>
                <w:noProof/>
                <w:sz w:val="20"/>
                <w:szCs w:val="20"/>
              </w:rPr>
            </w:pPr>
            <w:r w:rsidRPr="00D17CA8">
              <w:rPr>
                <w:noProof/>
                <w:sz w:val="20"/>
                <w:szCs w:val="20"/>
              </w:rPr>
              <w:t>-Adaptability for future business models (because of new criteria of innovation in the future)</w:t>
            </w:r>
          </w:p>
          <w:p w14:paraId="2B31CF0D" w14:textId="3E86C11D" w:rsidR="00D17CA8" w:rsidRPr="00D17CA8" w:rsidRDefault="00D17CA8" w:rsidP="00CB53FF">
            <w:pPr>
              <w:spacing w:after="120"/>
              <w:rPr>
                <w:noProof/>
                <w:sz w:val="20"/>
                <w:szCs w:val="20"/>
              </w:rPr>
            </w:pPr>
            <w:r w:rsidRPr="00D17CA8">
              <w:rPr>
                <w:noProof/>
                <w:sz w:val="20"/>
                <w:szCs w:val="20"/>
              </w:rPr>
              <w:t xml:space="preserve">-For all companies without any threshold, so available to micro, small, medium-sized undertakings and cooperatives </w:t>
            </w:r>
          </w:p>
        </w:tc>
      </w:tr>
      <w:tr w:rsidR="00D17CA8" w:rsidRPr="00D17CA8" w14:paraId="2351062B" w14:textId="77777777" w:rsidTr="00961910">
        <w:trPr>
          <w:trHeight w:val="300"/>
        </w:trPr>
        <w:tc>
          <w:tcPr>
            <w:tcW w:w="1462" w:type="dxa"/>
            <w:tcBorders>
              <w:top w:val="single" w:sz="4" w:space="0" w:color="auto"/>
            </w:tcBorders>
          </w:tcPr>
          <w:p w14:paraId="3EB6D727" w14:textId="77777777" w:rsidR="00D17CA8" w:rsidRPr="008B27D3" w:rsidRDefault="00D17CA8">
            <w:pPr>
              <w:rPr>
                <w:b/>
                <w:noProof/>
                <w:sz w:val="20"/>
                <w:szCs w:val="20"/>
              </w:rPr>
            </w:pPr>
            <w:r w:rsidRPr="008B27D3">
              <w:rPr>
                <w:b/>
                <w:noProof/>
                <w:sz w:val="20"/>
                <w:szCs w:val="20"/>
              </w:rPr>
              <w:t xml:space="preserve">Determination of the seat </w:t>
            </w:r>
          </w:p>
        </w:tc>
        <w:tc>
          <w:tcPr>
            <w:tcW w:w="2151" w:type="dxa"/>
            <w:tcBorders>
              <w:top w:val="single" w:sz="4" w:space="0" w:color="auto"/>
            </w:tcBorders>
          </w:tcPr>
          <w:p w14:paraId="0768D9F9" w14:textId="77777777" w:rsidR="00D17CA8" w:rsidRPr="00D17CA8" w:rsidRDefault="00D17CA8">
            <w:pPr>
              <w:rPr>
                <w:noProof/>
                <w:sz w:val="20"/>
                <w:szCs w:val="20"/>
              </w:rPr>
            </w:pPr>
            <w:r w:rsidRPr="00D17CA8">
              <w:rPr>
                <w:noProof/>
                <w:sz w:val="20"/>
                <w:szCs w:val="20"/>
              </w:rPr>
              <w:t xml:space="preserve">Connecting factor </w:t>
            </w:r>
          </w:p>
        </w:tc>
        <w:tc>
          <w:tcPr>
            <w:tcW w:w="1598" w:type="dxa"/>
            <w:tcBorders>
              <w:top w:val="single" w:sz="4" w:space="0" w:color="auto"/>
            </w:tcBorders>
          </w:tcPr>
          <w:p w14:paraId="5C7EE106" w14:textId="77777777" w:rsidR="00D17CA8" w:rsidRPr="00D17CA8" w:rsidRDefault="00D17CA8">
            <w:pPr>
              <w:rPr>
                <w:noProof/>
                <w:sz w:val="20"/>
                <w:szCs w:val="20"/>
              </w:rPr>
            </w:pPr>
            <w:r w:rsidRPr="00D17CA8">
              <w:rPr>
                <w:noProof/>
                <w:sz w:val="20"/>
                <w:szCs w:val="20"/>
              </w:rPr>
              <w:t xml:space="preserve">Some responses </w:t>
            </w:r>
          </w:p>
        </w:tc>
        <w:tc>
          <w:tcPr>
            <w:tcW w:w="3805" w:type="dxa"/>
            <w:tcBorders>
              <w:top w:val="single" w:sz="4" w:space="0" w:color="auto"/>
            </w:tcBorders>
          </w:tcPr>
          <w:p w14:paraId="0A8B8C88" w14:textId="52AB57EA" w:rsidR="00D17CA8" w:rsidRPr="00D17CA8" w:rsidRDefault="00D17CA8" w:rsidP="00CB53FF">
            <w:pPr>
              <w:spacing w:after="120"/>
              <w:rPr>
                <w:noProof/>
                <w:sz w:val="20"/>
                <w:szCs w:val="20"/>
              </w:rPr>
            </w:pPr>
            <w:r w:rsidRPr="00D17CA8">
              <w:rPr>
                <w:noProof/>
                <w:sz w:val="20"/>
                <w:szCs w:val="20"/>
              </w:rPr>
              <w:t xml:space="preserve">-Should be allowed to have the registered office and the central administration in different Member States </w:t>
            </w:r>
          </w:p>
          <w:p w14:paraId="269AFFB8" w14:textId="125898CF" w:rsidR="00D17CA8" w:rsidRPr="00D17CA8" w:rsidRDefault="00D17CA8" w:rsidP="00CB53FF">
            <w:pPr>
              <w:spacing w:after="120"/>
              <w:rPr>
                <w:noProof/>
                <w:sz w:val="20"/>
                <w:szCs w:val="20"/>
              </w:rPr>
            </w:pPr>
            <w:r w:rsidRPr="00D17CA8">
              <w:rPr>
                <w:noProof/>
                <w:sz w:val="20"/>
                <w:szCs w:val="20"/>
              </w:rPr>
              <w:t>-</w:t>
            </w:r>
            <w:r w:rsidR="00A70AF5" w:rsidRPr="00A70AF5">
              <w:rPr>
                <w:noProof/>
                <w:sz w:val="20"/>
                <w:szCs w:val="20"/>
              </w:rPr>
              <w:t>From the perspective of corporate law, only the registered seat should be considered</w:t>
            </w:r>
            <w:r w:rsidR="00A70AF5" w:rsidRPr="00A70AF5" w:rsidDel="00A70AF5">
              <w:rPr>
                <w:noProof/>
                <w:sz w:val="20"/>
                <w:szCs w:val="20"/>
              </w:rPr>
              <w:t xml:space="preserve"> </w:t>
            </w:r>
            <w:r w:rsidRPr="00D17CA8">
              <w:rPr>
                <w:noProof/>
                <w:sz w:val="20"/>
                <w:szCs w:val="20"/>
              </w:rPr>
              <w:t>(not for tax and social legislations)</w:t>
            </w:r>
          </w:p>
        </w:tc>
      </w:tr>
      <w:tr w:rsidR="00D17CA8" w:rsidRPr="00D17CA8" w14:paraId="20AFA0AF" w14:textId="77777777" w:rsidTr="00961910">
        <w:trPr>
          <w:trHeight w:val="300"/>
        </w:trPr>
        <w:tc>
          <w:tcPr>
            <w:tcW w:w="1462" w:type="dxa"/>
          </w:tcPr>
          <w:p w14:paraId="76666EAB" w14:textId="77777777" w:rsidR="00D17CA8" w:rsidRPr="008B27D3" w:rsidRDefault="00D17CA8">
            <w:pPr>
              <w:rPr>
                <w:b/>
                <w:noProof/>
                <w:sz w:val="20"/>
                <w:szCs w:val="20"/>
              </w:rPr>
            </w:pPr>
            <w:r w:rsidRPr="008B27D3">
              <w:rPr>
                <w:b/>
                <w:noProof/>
                <w:sz w:val="20"/>
                <w:szCs w:val="20"/>
              </w:rPr>
              <w:t xml:space="preserve">Articles of Association </w:t>
            </w:r>
          </w:p>
        </w:tc>
        <w:tc>
          <w:tcPr>
            <w:tcW w:w="2151" w:type="dxa"/>
          </w:tcPr>
          <w:p w14:paraId="52B08829" w14:textId="77777777" w:rsidR="00D17CA8" w:rsidRPr="00D17CA8" w:rsidRDefault="00D17CA8" w:rsidP="00005B97">
            <w:pPr>
              <w:jc w:val="left"/>
              <w:rPr>
                <w:noProof/>
                <w:sz w:val="20"/>
                <w:szCs w:val="20"/>
              </w:rPr>
            </w:pPr>
            <w:r w:rsidRPr="00D17CA8">
              <w:rPr>
                <w:noProof/>
                <w:sz w:val="20"/>
                <w:szCs w:val="20"/>
              </w:rPr>
              <w:t xml:space="preserve">Template for shareholders </w:t>
            </w:r>
          </w:p>
        </w:tc>
        <w:tc>
          <w:tcPr>
            <w:tcW w:w="1598" w:type="dxa"/>
          </w:tcPr>
          <w:p w14:paraId="5964786A" w14:textId="77777777" w:rsidR="00D17CA8" w:rsidRPr="00D17CA8" w:rsidRDefault="00D17CA8">
            <w:pPr>
              <w:rPr>
                <w:noProof/>
                <w:sz w:val="20"/>
                <w:szCs w:val="20"/>
              </w:rPr>
            </w:pPr>
            <w:r w:rsidRPr="00D17CA8">
              <w:rPr>
                <w:noProof/>
                <w:sz w:val="20"/>
                <w:szCs w:val="20"/>
              </w:rPr>
              <w:t xml:space="preserve">Many responses </w:t>
            </w:r>
          </w:p>
        </w:tc>
        <w:tc>
          <w:tcPr>
            <w:tcW w:w="3805" w:type="dxa"/>
          </w:tcPr>
          <w:p w14:paraId="7E6C6D72" w14:textId="77777777" w:rsidR="00D17CA8" w:rsidRPr="00D17CA8" w:rsidRDefault="00D17CA8" w:rsidP="00CB53FF">
            <w:pPr>
              <w:spacing w:after="120"/>
              <w:rPr>
                <w:noProof/>
                <w:sz w:val="20"/>
                <w:szCs w:val="20"/>
              </w:rPr>
            </w:pPr>
            <w:r w:rsidRPr="00D17CA8">
              <w:rPr>
                <w:noProof/>
                <w:sz w:val="20"/>
                <w:szCs w:val="20"/>
              </w:rPr>
              <w:t>Modular template ensuring both faster registration and flexibility for founders</w:t>
            </w:r>
          </w:p>
        </w:tc>
      </w:tr>
      <w:tr w:rsidR="00D17CA8" w:rsidRPr="00D17CA8" w14:paraId="6BEF001A" w14:textId="77777777" w:rsidTr="00961910">
        <w:tc>
          <w:tcPr>
            <w:tcW w:w="1462" w:type="dxa"/>
          </w:tcPr>
          <w:p w14:paraId="726B3D22" w14:textId="1ABFA44A" w:rsidR="00D17CA8" w:rsidRPr="00D17CA8" w:rsidRDefault="00D17CA8">
            <w:pPr>
              <w:rPr>
                <w:noProof/>
                <w:sz w:val="20"/>
                <w:szCs w:val="20"/>
              </w:rPr>
            </w:pPr>
            <w:r w:rsidRPr="008B27D3">
              <w:rPr>
                <w:b/>
                <w:noProof/>
                <w:sz w:val="20"/>
                <w:szCs w:val="20"/>
              </w:rPr>
              <w:t>Investment</w:t>
            </w:r>
          </w:p>
        </w:tc>
        <w:tc>
          <w:tcPr>
            <w:tcW w:w="2151" w:type="dxa"/>
          </w:tcPr>
          <w:p w14:paraId="5DF7BFEB" w14:textId="0D46333A" w:rsidR="00D17CA8" w:rsidRPr="00D17CA8" w:rsidRDefault="00D17CA8" w:rsidP="00005B97">
            <w:pPr>
              <w:jc w:val="left"/>
              <w:rPr>
                <w:noProof/>
                <w:sz w:val="20"/>
                <w:szCs w:val="20"/>
              </w:rPr>
            </w:pPr>
            <w:r w:rsidRPr="00D17CA8">
              <w:rPr>
                <w:noProof/>
                <w:sz w:val="20"/>
                <w:szCs w:val="20"/>
              </w:rPr>
              <w:t xml:space="preserve">Template for directors and investors </w:t>
            </w:r>
          </w:p>
        </w:tc>
        <w:tc>
          <w:tcPr>
            <w:tcW w:w="1598" w:type="dxa"/>
          </w:tcPr>
          <w:p w14:paraId="048A85BF" w14:textId="1634C838" w:rsidR="00D17CA8" w:rsidRPr="00D17CA8" w:rsidRDefault="00D17CA8">
            <w:pPr>
              <w:rPr>
                <w:noProof/>
                <w:sz w:val="20"/>
                <w:szCs w:val="20"/>
              </w:rPr>
            </w:pPr>
            <w:r w:rsidRPr="00D17CA8">
              <w:rPr>
                <w:noProof/>
                <w:sz w:val="20"/>
                <w:szCs w:val="20"/>
              </w:rPr>
              <w:t xml:space="preserve">Many </w:t>
            </w:r>
            <w:r w:rsidR="00E8049E">
              <w:rPr>
                <w:noProof/>
                <w:sz w:val="20"/>
                <w:szCs w:val="20"/>
              </w:rPr>
              <w:t>responses</w:t>
            </w:r>
          </w:p>
        </w:tc>
        <w:tc>
          <w:tcPr>
            <w:tcW w:w="3805" w:type="dxa"/>
          </w:tcPr>
          <w:p w14:paraId="2CFC73B0" w14:textId="4A1BF65C" w:rsidR="00D17CA8" w:rsidRPr="00D17CA8" w:rsidRDefault="00D17CA8" w:rsidP="008A34B8">
            <w:pPr>
              <w:spacing w:after="0"/>
              <w:rPr>
                <w:noProof/>
                <w:sz w:val="20"/>
                <w:szCs w:val="20"/>
              </w:rPr>
            </w:pPr>
            <w:r w:rsidRPr="00D17CA8">
              <w:rPr>
                <w:noProof/>
                <w:sz w:val="20"/>
                <w:szCs w:val="20"/>
              </w:rPr>
              <w:t>Investment document like SAFEs in the USA: a standardised template for private contractual agreements for early-stage financing</w:t>
            </w:r>
          </w:p>
        </w:tc>
      </w:tr>
      <w:tr w:rsidR="00D17CA8" w:rsidRPr="00D17CA8" w14:paraId="26793065" w14:textId="77777777" w:rsidTr="00697D42">
        <w:trPr>
          <w:trHeight w:val="1691"/>
        </w:trPr>
        <w:tc>
          <w:tcPr>
            <w:tcW w:w="1462" w:type="dxa"/>
          </w:tcPr>
          <w:p w14:paraId="4AE3C521" w14:textId="5927F489" w:rsidR="00D17CA8" w:rsidRPr="00CB53FF" w:rsidRDefault="00D17CA8">
            <w:pPr>
              <w:rPr>
                <w:b/>
                <w:noProof/>
                <w:sz w:val="20"/>
                <w:szCs w:val="20"/>
              </w:rPr>
            </w:pPr>
            <w:r w:rsidRPr="008B27D3">
              <w:rPr>
                <w:b/>
                <w:bCs/>
                <w:noProof/>
                <w:sz w:val="20"/>
                <w:szCs w:val="20"/>
              </w:rPr>
              <w:t>Digitali</w:t>
            </w:r>
            <w:r w:rsidR="00D73017">
              <w:rPr>
                <w:b/>
                <w:bCs/>
                <w:noProof/>
                <w:sz w:val="20"/>
                <w:szCs w:val="20"/>
              </w:rPr>
              <w:t>s</w:t>
            </w:r>
            <w:r w:rsidRPr="00CB53FF">
              <w:rPr>
                <w:b/>
                <w:bCs/>
                <w:noProof/>
                <w:sz w:val="20"/>
                <w:szCs w:val="20"/>
              </w:rPr>
              <w:t xml:space="preserve">ation </w:t>
            </w:r>
          </w:p>
        </w:tc>
        <w:tc>
          <w:tcPr>
            <w:tcW w:w="2151" w:type="dxa"/>
          </w:tcPr>
          <w:p w14:paraId="1F0E5B2E" w14:textId="77777777" w:rsidR="00D17CA8" w:rsidRPr="00D17CA8" w:rsidRDefault="00D17CA8">
            <w:pPr>
              <w:rPr>
                <w:noProof/>
                <w:sz w:val="20"/>
                <w:szCs w:val="20"/>
              </w:rPr>
            </w:pPr>
            <w:r w:rsidRPr="00D17CA8">
              <w:rPr>
                <w:noProof/>
                <w:sz w:val="20"/>
                <w:szCs w:val="20"/>
              </w:rPr>
              <w:t xml:space="preserve">Digital-First </w:t>
            </w:r>
          </w:p>
        </w:tc>
        <w:tc>
          <w:tcPr>
            <w:tcW w:w="1598" w:type="dxa"/>
          </w:tcPr>
          <w:p w14:paraId="36A09D29" w14:textId="742A56FB" w:rsidR="00D17CA8" w:rsidRPr="00D17CA8" w:rsidRDefault="00D17CA8" w:rsidP="00005B97">
            <w:pPr>
              <w:jc w:val="left"/>
              <w:rPr>
                <w:noProof/>
                <w:sz w:val="20"/>
                <w:szCs w:val="20"/>
              </w:rPr>
            </w:pPr>
            <w:r w:rsidRPr="00D17CA8">
              <w:rPr>
                <w:noProof/>
                <w:sz w:val="20"/>
                <w:szCs w:val="20"/>
              </w:rPr>
              <w:t>Majority</w:t>
            </w:r>
            <w:r w:rsidR="00E8049E">
              <w:rPr>
                <w:noProof/>
                <w:sz w:val="20"/>
                <w:szCs w:val="20"/>
              </w:rPr>
              <w:t xml:space="preserve"> of responses</w:t>
            </w:r>
          </w:p>
        </w:tc>
        <w:tc>
          <w:tcPr>
            <w:tcW w:w="3805" w:type="dxa"/>
          </w:tcPr>
          <w:p w14:paraId="4AB9F54D" w14:textId="6CDD1C02" w:rsidR="00D17CA8" w:rsidRPr="00D17CA8" w:rsidRDefault="00D17CA8" w:rsidP="00CB53FF">
            <w:pPr>
              <w:spacing w:after="120"/>
              <w:rPr>
                <w:noProof/>
                <w:sz w:val="20"/>
                <w:szCs w:val="20"/>
              </w:rPr>
            </w:pPr>
            <w:r w:rsidRPr="00D17CA8">
              <w:rPr>
                <w:noProof/>
                <w:sz w:val="20"/>
                <w:szCs w:val="20"/>
              </w:rPr>
              <w:t>-Interoperability between national registers (thanks to EUID and Company Certificate)</w:t>
            </w:r>
          </w:p>
          <w:p w14:paraId="5B0468C8" w14:textId="77777777" w:rsidR="00D17CA8" w:rsidRPr="00D17CA8" w:rsidRDefault="00D17CA8" w:rsidP="00CB53FF">
            <w:pPr>
              <w:spacing w:after="120"/>
              <w:rPr>
                <w:noProof/>
                <w:sz w:val="20"/>
                <w:szCs w:val="20"/>
              </w:rPr>
            </w:pPr>
            <w:r w:rsidRPr="00D17CA8">
              <w:rPr>
                <w:noProof/>
                <w:sz w:val="20"/>
                <w:szCs w:val="20"/>
              </w:rPr>
              <w:t>-Allowing electronic signature of financing documents</w:t>
            </w:r>
          </w:p>
          <w:p w14:paraId="5334AA61" w14:textId="79887CAC" w:rsidR="00D17CA8" w:rsidRPr="00D17CA8" w:rsidRDefault="00D17CA8" w:rsidP="00CB53FF">
            <w:pPr>
              <w:spacing w:after="120"/>
              <w:rPr>
                <w:noProof/>
                <w:sz w:val="20"/>
                <w:szCs w:val="20"/>
              </w:rPr>
            </w:pPr>
            <w:r w:rsidRPr="00D17CA8">
              <w:rPr>
                <w:noProof/>
                <w:sz w:val="20"/>
                <w:szCs w:val="20"/>
              </w:rPr>
              <w:t>-Digital capital increases (share issuance and resolutions to increase capital)</w:t>
            </w:r>
          </w:p>
        </w:tc>
      </w:tr>
      <w:tr w:rsidR="00D17CA8" w:rsidRPr="00D17CA8" w14:paraId="4E9367F0" w14:textId="77777777" w:rsidTr="00242D58">
        <w:trPr>
          <w:trHeight w:val="3913"/>
        </w:trPr>
        <w:tc>
          <w:tcPr>
            <w:tcW w:w="1462" w:type="dxa"/>
          </w:tcPr>
          <w:p w14:paraId="12424E6A" w14:textId="77777777" w:rsidR="00D17CA8" w:rsidRPr="008B27D3" w:rsidRDefault="00D17CA8">
            <w:pPr>
              <w:rPr>
                <w:b/>
                <w:noProof/>
                <w:sz w:val="20"/>
                <w:szCs w:val="20"/>
              </w:rPr>
            </w:pPr>
            <w:r w:rsidRPr="008B27D3">
              <w:rPr>
                <w:b/>
                <w:noProof/>
                <w:sz w:val="20"/>
                <w:szCs w:val="20"/>
              </w:rPr>
              <w:t>Employee ownership</w:t>
            </w:r>
          </w:p>
          <w:p w14:paraId="14C6E312" w14:textId="77777777" w:rsidR="00D17CA8" w:rsidRPr="00D17CA8" w:rsidRDefault="00D17CA8">
            <w:pPr>
              <w:rPr>
                <w:noProof/>
                <w:sz w:val="20"/>
                <w:szCs w:val="20"/>
              </w:rPr>
            </w:pPr>
          </w:p>
          <w:p w14:paraId="2D01E39C" w14:textId="77777777" w:rsidR="00D17CA8" w:rsidRPr="00D17CA8" w:rsidRDefault="00D17CA8">
            <w:pPr>
              <w:rPr>
                <w:noProof/>
                <w:sz w:val="20"/>
                <w:szCs w:val="20"/>
              </w:rPr>
            </w:pPr>
          </w:p>
          <w:p w14:paraId="3C85A8BF" w14:textId="77777777" w:rsidR="00D17CA8" w:rsidRPr="00D17CA8" w:rsidRDefault="00D17CA8">
            <w:pPr>
              <w:rPr>
                <w:noProof/>
                <w:sz w:val="20"/>
                <w:szCs w:val="20"/>
              </w:rPr>
            </w:pPr>
          </w:p>
          <w:p w14:paraId="6EA76F64" w14:textId="77777777" w:rsidR="00D17CA8" w:rsidRPr="00D17CA8" w:rsidRDefault="00D17CA8">
            <w:pPr>
              <w:rPr>
                <w:noProof/>
                <w:sz w:val="20"/>
                <w:szCs w:val="20"/>
              </w:rPr>
            </w:pPr>
          </w:p>
          <w:p w14:paraId="66CAEB3A" w14:textId="77777777" w:rsidR="00D17CA8" w:rsidRPr="00D17CA8" w:rsidRDefault="00D17CA8">
            <w:pPr>
              <w:rPr>
                <w:noProof/>
                <w:sz w:val="20"/>
                <w:szCs w:val="20"/>
              </w:rPr>
            </w:pPr>
          </w:p>
        </w:tc>
        <w:tc>
          <w:tcPr>
            <w:tcW w:w="2151" w:type="dxa"/>
          </w:tcPr>
          <w:p w14:paraId="11AEFBF8" w14:textId="77777777" w:rsidR="00D17CA8" w:rsidRPr="00D17CA8" w:rsidRDefault="00D17CA8">
            <w:pPr>
              <w:rPr>
                <w:noProof/>
                <w:sz w:val="20"/>
                <w:szCs w:val="20"/>
              </w:rPr>
            </w:pPr>
            <w:r w:rsidRPr="00D17CA8">
              <w:rPr>
                <w:noProof/>
                <w:sz w:val="20"/>
                <w:szCs w:val="20"/>
              </w:rPr>
              <w:t>To attract and to retain talents</w:t>
            </w:r>
          </w:p>
          <w:p w14:paraId="01052227" w14:textId="77777777" w:rsidR="00D17CA8" w:rsidRPr="00D17CA8" w:rsidRDefault="00D17CA8">
            <w:pPr>
              <w:rPr>
                <w:noProof/>
                <w:sz w:val="20"/>
                <w:szCs w:val="20"/>
              </w:rPr>
            </w:pPr>
          </w:p>
        </w:tc>
        <w:tc>
          <w:tcPr>
            <w:tcW w:w="1598" w:type="dxa"/>
          </w:tcPr>
          <w:p w14:paraId="3CFBE977" w14:textId="41511A0B" w:rsidR="00D17CA8" w:rsidRPr="00D17CA8" w:rsidRDefault="00D17CA8">
            <w:pPr>
              <w:rPr>
                <w:noProof/>
                <w:sz w:val="20"/>
                <w:szCs w:val="20"/>
              </w:rPr>
            </w:pPr>
            <w:r w:rsidRPr="00D17CA8">
              <w:rPr>
                <w:noProof/>
                <w:sz w:val="20"/>
                <w:szCs w:val="20"/>
              </w:rPr>
              <w:t xml:space="preserve">Many responses (including </w:t>
            </w:r>
            <w:r w:rsidR="00A6724A">
              <w:rPr>
                <w:noProof/>
                <w:sz w:val="20"/>
                <w:szCs w:val="20"/>
              </w:rPr>
              <w:t>some</w:t>
            </w:r>
            <w:r w:rsidR="003B02CE">
              <w:rPr>
                <w:noProof/>
                <w:sz w:val="20"/>
                <w:szCs w:val="20"/>
              </w:rPr>
              <w:t xml:space="preserve"> trade union</w:t>
            </w:r>
            <w:r w:rsidR="000E3AE4">
              <w:rPr>
                <w:noProof/>
                <w:sz w:val="20"/>
                <w:szCs w:val="20"/>
              </w:rPr>
              <w:t>s</w:t>
            </w:r>
            <w:r w:rsidRPr="00D17CA8">
              <w:rPr>
                <w:noProof/>
                <w:sz w:val="20"/>
                <w:szCs w:val="20"/>
              </w:rPr>
              <w:t>)</w:t>
            </w:r>
          </w:p>
        </w:tc>
        <w:tc>
          <w:tcPr>
            <w:tcW w:w="3805" w:type="dxa"/>
          </w:tcPr>
          <w:p w14:paraId="3748D050" w14:textId="35ADA59A" w:rsidR="00D17CA8" w:rsidRPr="00D52592" w:rsidRDefault="00D17CA8" w:rsidP="006B6556">
            <w:pPr>
              <w:spacing w:after="80"/>
              <w:rPr>
                <w:noProof/>
                <w:sz w:val="20"/>
                <w:szCs w:val="20"/>
              </w:rPr>
            </w:pPr>
            <w:r w:rsidRPr="00D52592">
              <w:rPr>
                <w:noProof/>
                <w:sz w:val="20"/>
                <w:szCs w:val="20"/>
              </w:rPr>
              <w:t xml:space="preserve">Targeted </w:t>
            </w:r>
            <w:r w:rsidR="003B05A0">
              <w:rPr>
                <w:noProof/>
                <w:sz w:val="20"/>
                <w:szCs w:val="20"/>
              </w:rPr>
              <w:t>measure</w:t>
            </w:r>
            <w:r w:rsidRPr="00D52592">
              <w:rPr>
                <w:noProof/>
                <w:sz w:val="20"/>
                <w:szCs w:val="20"/>
              </w:rPr>
              <w:t xml:space="preserve"> could be useful:</w:t>
            </w:r>
          </w:p>
          <w:p w14:paraId="7F6C6660" w14:textId="18DF8397" w:rsidR="00D17CA8" w:rsidRPr="00D17CA8" w:rsidRDefault="00412FAC" w:rsidP="006B6556">
            <w:pPr>
              <w:spacing w:after="80"/>
              <w:rPr>
                <w:noProof/>
                <w:sz w:val="20"/>
                <w:szCs w:val="20"/>
              </w:rPr>
            </w:pPr>
            <w:r>
              <w:rPr>
                <w:noProof/>
                <w:sz w:val="20"/>
                <w:szCs w:val="20"/>
              </w:rPr>
              <w:t xml:space="preserve">- </w:t>
            </w:r>
            <w:r w:rsidR="00D17CA8" w:rsidRPr="00D17CA8">
              <w:rPr>
                <w:noProof/>
                <w:sz w:val="20"/>
                <w:szCs w:val="20"/>
              </w:rPr>
              <w:t>for businesses: it brings lower employee turnover and strengthens capital‘s continuity and stability,</w:t>
            </w:r>
          </w:p>
          <w:p w14:paraId="7CA05E7E" w14:textId="451FF256" w:rsidR="00D17CA8" w:rsidRPr="00D17CA8" w:rsidRDefault="00D17CA8" w:rsidP="006B6556">
            <w:pPr>
              <w:rPr>
                <w:noProof/>
                <w:sz w:val="20"/>
                <w:szCs w:val="20"/>
              </w:rPr>
            </w:pPr>
            <w:r w:rsidRPr="00D17CA8">
              <w:rPr>
                <w:noProof/>
                <w:sz w:val="20"/>
                <w:szCs w:val="20"/>
              </w:rPr>
              <w:t xml:space="preserve"> </w:t>
            </w:r>
            <w:r w:rsidR="00412FAC">
              <w:rPr>
                <w:noProof/>
                <w:sz w:val="20"/>
                <w:szCs w:val="20"/>
              </w:rPr>
              <w:t xml:space="preserve">- </w:t>
            </w:r>
            <w:r w:rsidRPr="00D17CA8">
              <w:rPr>
                <w:noProof/>
                <w:sz w:val="20"/>
                <w:szCs w:val="20"/>
              </w:rPr>
              <w:t xml:space="preserve">for economy: it supports inclusive growth, and it counters brain drain. </w:t>
            </w:r>
          </w:p>
          <w:p w14:paraId="110164A4" w14:textId="7FC01411" w:rsidR="00D17CA8" w:rsidRPr="00D17CA8" w:rsidRDefault="00D17CA8" w:rsidP="006B6556">
            <w:pPr>
              <w:spacing w:after="80"/>
              <w:rPr>
                <w:noProof/>
                <w:sz w:val="20"/>
                <w:szCs w:val="20"/>
              </w:rPr>
            </w:pPr>
            <w:r w:rsidRPr="00D17CA8">
              <w:rPr>
                <w:noProof/>
                <w:sz w:val="20"/>
                <w:szCs w:val="20"/>
              </w:rPr>
              <w:t>It should take the form of:</w:t>
            </w:r>
          </w:p>
          <w:p w14:paraId="7D7EA876" w14:textId="0A498B71" w:rsidR="00D17CA8" w:rsidRPr="00D17CA8" w:rsidRDefault="00412FAC" w:rsidP="006B6556">
            <w:pPr>
              <w:spacing w:after="80"/>
              <w:rPr>
                <w:noProof/>
                <w:sz w:val="20"/>
                <w:szCs w:val="20"/>
              </w:rPr>
            </w:pPr>
            <w:r>
              <w:rPr>
                <w:noProof/>
                <w:sz w:val="20"/>
                <w:szCs w:val="20"/>
              </w:rPr>
              <w:t xml:space="preserve">- </w:t>
            </w:r>
            <w:r w:rsidR="00D17CA8" w:rsidRPr="00D17CA8">
              <w:rPr>
                <w:noProof/>
                <w:sz w:val="20"/>
                <w:szCs w:val="20"/>
              </w:rPr>
              <w:t xml:space="preserve">standardized options which could be granted Europe-wide  </w:t>
            </w:r>
          </w:p>
          <w:p w14:paraId="7F11C29B" w14:textId="6C34F490" w:rsidR="00D17CA8" w:rsidRPr="00D17CA8" w:rsidRDefault="00412FAC" w:rsidP="006B6556">
            <w:pPr>
              <w:spacing w:after="80"/>
              <w:rPr>
                <w:noProof/>
                <w:sz w:val="20"/>
                <w:szCs w:val="20"/>
              </w:rPr>
            </w:pPr>
            <w:r>
              <w:rPr>
                <w:noProof/>
                <w:sz w:val="20"/>
                <w:szCs w:val="20"/>
              </w:rPr>
              <w:t xml:space="preserve">- </w:t>
            </w:r>
            <w:r w:rsidR="00D17CA8" w:rsidRPr="00D17CA8">
              <w:rPr>
                <w:noProof/>
                <w:sz w:val="20"/>
                <w:szCs w:val="20"/>
              </w:rPr>
              <w:t>with a clear tax treatment: tax at sale (capital-gains treatment) with a minimum holding period to qualify</w:t>
            </w:r>
          </w:p>
          <w:p w14:paraId="75B2271D" w14:textId="3214BAA8" w:rsidR="00D17CA8" w:rsidRPr="00D17CA8" w:rsidRDefault="00412FAC" w:rsidP="006B6556">
            <w:pPr>
              <w:spacing w:after="0"/>
              <w:rPr>
                <w:noProof/>
                <w:sz w:val="20"/>
                <w:szCs w:val="20"/>
              </w:rPr>
            </w:pPr>
            <w:r>
              <w:rPr>
                <w:noProof/>
                <w:sz w:val="20"/>
                <w:szCs w:val="20"/>
              </w:rPr>
              <w:t xml:space="preserve">- </w:t>
            </w:r>
            <w:r w:rsidR="00D17CA8" w:rsidRPr="00D17CA8">
              <w:rPr>
                <w:noProof/>
                <w:sz w:val="20"/>
                <w:szCs w:val="20"/>
              </w:rPr>
              <w:t>portability when employees move within the EU</w:t>
            </w:r>
          </w:p>
        </w:tc>
      </w:tr>
      <w:tr w:rsidR="00D17CA8" w:rsidRPr="00D17CA8" w14:paraId="0BEEC0B1" w14:textId="77777777" w:rsidTr="00961910">
        <w:tc>
          <w:tcPr>
            <w:tcW w:w="1462" w:type="dxa"/>
          </w:tcPr>
          <w:p w14:paraId="08074B51" w14:textId="77777777" w:rsidR="00D17CA8" w:rsidRPr="008B27D3" w:rsidRDefault="00D17CA8">
            <w:pPr>
              <w:rPr>
                <w:b/>
                <w:noProof/>
                <w:sz w:val="20"/>
                <w:szCs w:val="20"/>
              </w:rPr>
            </w:pPr>
            <w:r w:rsidRPr="008B27D3">
              <w:rPr>
                <w:b/>
                <w:noProof/>
                <w:sz w:val="20"/>
                <w:szCs w:val="20"/>
              </w:rPr>
              <w:t xml:space="preserve">Tax-related issues </w:t>
            </w:r>
          </w:p>
        </w:tc>
        <w:tc>
          <w:tcPr>
            <w:tcW w:w="2151" w:type="dxa"/>
          </w:tcPr>
          <w:p w14:paraId="1AE10FD6" w14:textId="77777777" w:rsidR="00D17CA8" w:rsidRPr="00D17CA8" w:rsidRDefault="00D17CA8">
            <w:pPr>
              <w:rPr>
                <w:noProof/>
                <w:sz w:val="20"/>
                <w:szCs w:val="20"/>
              </w:rPr>
            </w:pPr>
            <w:r w:rsidRPr="00D17CA8">
              <w:rPr>
                <w:noProof/>
                <w:sz w:val="20"/>
                <w:szCs w:val="20"/>
              </w:rPr>
              <w:t>Simplification</w:t>
            </w:r>
          </w:p>
        </w:tc>
        <w:tc>
          <w:tcPr>
            <w:tcW w:w="1598" w:type="dxa"/>
          </w:tcPr>
          <w:p w14:paraId="47293B11" w14:textId="77777777" w:rsidR="00D17CA8" w:rsidRPr="00D17CA8" w:rsidRDefault="00D17CA8" w:rsidP="00412FAC">
            <w:pPr>
              <w:jc w:val="left"/>
              <w:rPr>
                <w:noProof/>
                <w:sz w:val="20"/>
                <w:szCs w:val="20"/>
              </w:rPr>
            </w:pPr>
            <w:r w:rsidRPr="00D17CA8">
              <w:rPr>
                <w:noProof/>
                <w:sz w:val="20"/>
                <w:szCs w:val="20"/>
              </w:rPr>
              <w:t xml:space="preserve">Some responses </w:t>
            </w:r>
          </w:p>
        </w:tc>
        <w:tc>
          <w:tcPr>
            <w:tcW w:w="3805" w:type="dxa"/>
          </w:tcPr>
          <w:p w14:paraId="13CBC91B" w14:textId="7608F412" w:rsidR="00D17CA8" w:rsidRPr="00D17CA8" w:rsidRDefault="00D17CA8" w:rsidP="00CB53FF">
            <w:pPr>
              <w:spacing w:after="120"/>
              <w:rPr>
                <w:noProof/>
                <w:sz w:val="20"/>
                <w:szCs w:val="20"/>
              </w:rPr>
            </w:pPr>
            <w:r w:rsidRPr="00D17CA8">
              <w:rPr>
                <w:noProof/>
                <w:sz w:val="20"/>
                <w:szCs w:val="20"/>
              </w:rPr>
              <w:t xml:space="preserve">EUID should serve also for TIN, VAT and </w:t>
            </w:r>
            <w:r w:rsidR="00920294">
              <w:rPr>
                <w:noProof/>
                <w:sz w:val="20"/>
                <w:szCs w:val="20"/>
              </w:rPr>
              <w:t xml:space="preserve">Economic </w:t>
            </w:r>
            <w:r w:rsidR="00A200CA">
              <w:rPr>
                <w:noProof/>
                <w:sz w:val="20"/>
                <w:szCs w:val="20"/>
              </w:rPr>
              <w:t xml:space="preserve">Operators Registration and </w:t>
            </w:r>
            <w:r w:rsidR="00826608">
              <w:rPr>
                <w:noProof/>
                <w:sz w:val="20"/>
                <w:szCs w:val="20"/>
              </w:rPr>
              <w:t>Identification</w:t>
            </w:r>
            <w:r w:rsidR="003957EB">
              <w:rPr>
                <w:noProof/>
                <w:sz w:val="20"/>
                <w:szCs w:val="20"/>
              </w:rPr>
              <w:t xml:space="preserve"> number (</w:t>
            </w:r>
            <w:r w:rsidRPr="00D17CA8">
              <w:rPr>
                <w:noProof/>
                <w:sz w:val="20"/>
                <w:szCs w:val="20"/>
              </w:rPr>
              <w:t>EORI number</w:t>
            </w:r>
            <w:r w:rsidR="00D82384">
              <w:rPr>
                <w:noProof/>
                <w:sz w:val="20"/>
                <w:szCs w:val="20"/>
              </w:rPr>
              <w:t>)</w:t>
            </w:r>
            <w:r w:rsidRPr="00D17CA8">
              <w:rPr>
                <w:noProof/>
                <w:sz w:val="20"/>
                <w:szCs w:val="20"/>
              </w:rPr>
              <w:t xml:space="preserve"> for custom declarations</w:t>
            </w:r>
          </w:p>
        </w:tc>
      </w:tr>
      <w:tr w:rsidR="00D17CA8" w:rsidRPr="00D17CA8" w14:paraId="73EC2D7F" w14:textId="77777777" w:rsidTr="00961910">
        <w:tc>
          <w:tcPr>
            <w:tcW w:w="1462" w:type="dxa"/>
          </w:tcPr>
          <w:p w14:paraId="6162FC66" w14:textId="77777777" w:rsidR="00D17CA8" w:rsidRPr="008B27D3" w:rsidRDefault="00D17CA8">
            <w:pPr>
              <w:rPr>
                <w:b/>
                <w:noProof/>
                <w:sz w:val="20"/>
                <w:szCs w:val="20"/>
              </w:rPr>
            </w:pPr>
            <w:r w:rsidRPr="008B27D3">
              <w:rPr>
                <w:b/>
                <w:noProof/>
                <w:sz w:val="20"/>
                <w:szCs w:val="20"/>
              </w:rPr>
              <w:t xml:space="preserve">Steward-ownership </w:t>
            </w:r>
          </w:p>
        </w:tc>
        <w:tc>
          <w:tcPr>
            <w:tcW w:w="2151" w:type="dxa"/>
          </w:tcPr>
          <w:p w14:paraId="2D79B471" w14:textId="77777777" w:rsidR="00D17CA8" w:rsidRPr="00D17CA8" w:rsidRDefault="00D17CA8" w:rsidP="006B6556">
            <w:pPr>
              <w:jc w:val="left"/>
              <w:rPr>
                <w:noProof/>
                <w:sz w:val="20"/>
                <w:szCs w:val="20"/>
              </w:rPr>
            </w:pPr>
            <w:r w:rsidRPr="00D17CA8">
              <w:rPr>
                <w:noProof/>
                <w:sz w:val="20"/>
                <w:szCs w:val="20"/>
              </w:rPr>
              <w:t xml:space="preserve">For long-term perspective </w:t>
            </w:r>
          </w:p>
        </w:tc>
        <w:tc>
          <w:tcPr>
            <w:tcW w:w="1598" w:type="dxa"/>
          </w:tcPr>
          <w:p w14:paraId="310C0F4B" w14:textId="77777777" w:rsidR="00D17CA8" w:rsidRPr="00D17CA8" w:rsidRDefault="00D17CA8">
            <w:pPr>
              <w:rPr>
                <w:noProof/>
                <w:sz w:val="20"/>
                <w:szCs w:val="20"/>
              </w:rPr>
            </w:pPr>
            <w:r w:rsidRPr="00D17CA8">
              <w:rPr>
                <w:noProof/>
                <w:sz w:val="20"/>
                <w:szCs w:val="20"/>
              </w:rPr>
              <w:t xml:space="preserve">Few responses </w:t>
            </w:r>
          </w:p>
        </w:tc>
        <w:tc>
          <w:tcPr>
            <w:tcW w:w="3805" w:type="dxa"/>
          </w:tcPr>
          <w:p w14:paraId="36B38B96" w14:textId="77777777" w:rsidR="00D17CA8" w:rsidRPr="00D17CA8" w:rsidRDefault="00D17CA8" w:rsidP="00CB53FF">
            <w:pPr>
              <w:spacing w:after="120"/>
              <w:rPr>
                <w:noProof/>
                <w:sz w:val="20"/>
                <w:szCs w:val="20"/>
              </w:rPr>
            </w:pPr>
            <w:r w:rsidRPr="00D17CA8">
              <w:rPr>
                <w:noProof/>
                <w:sz w:val="20"/>
                <w:szCs w:val="20"/>
              </w:rPr>
              <w:t>-By separating voting control from economic rights</w:t>
            </w:r>
          </w:p>
          <w:p w14:paraId="20FEBD14" w14:textId="1704C4E9" w:rsidR="00D17CA8" w:rsidRPr="00D17CA8" w:rsidRDefault="00D17CA8" w:rsidP="00CB53FF">
            <w:pPr>
              <w:spacing w:after="120"/>
              <w:rPr>
                <w:noProof/>
                <w:sz w:val="20"/>
                <w:szCs w:val="20"/>
              </w:rPr>
            </w:pPr>
            <w:r w:rsidRPr="00D17CA8">
              <w:rPr>
                <w:noProof/>
                <w:sz w:val="20"/>
                <w:szCs w:val="20"/>
              </w:rPr>
              <w:t xml:space="preserve">-Non-transferable voting rights ensuring irrevocable asset lock (requiring equivalent protection </w:t>
            </w:r>
            <w:r w:rsidR="00803B33">
              <w:rPr>
                <w:noProof/>
                <w:sz w:val="20"/>
                <w:szCs w:val="20"/>
              </w:rPr>
              <w:t xml:space="preserve">and restriction in </w:t>
            </w:r>
            <w:r w:rsidR="007A502F">
              <w:rPr>
                <w:noProof/>
                <w:sz w:val="20"/>
                <w:szCs w:val="20"/>
              </w:rPr>
              <w:t xml:space="preserve">case of </w:t>
            </w:r>
            <w:r w:rsidR="00F948B9">
              <w:rPr>
                <w:noProof/>
                <w:sz w:val="20"/>
                <w:szCs w:val="20"/>
              </w:rPr>
              <w:t xml:space="preserve">conversion, </w:t>
            </w:r>
            <w:r w:rsidR="00D41CA8">
              <w:rPr>
                <w:noProof/>
                <w:sz w:val="20"/>
                <w:szCs w:val="20"/>
              </w:rPr>
              <w:t>merger and division</w:t>
            </w:r>
            <w:r w:rsidRPr="00D17CA8">
              <w:rPr>
                <w:noProof/>
                <w:sz w:val="20"/>
                <w:szCs w:val="20"/>
              </w:rPr>
              <w:t>)</w:t>
            </w:r>
          </w:p>
          <w:p w14:paraId="67A87BF5" w14:textId="2D02EB86" w:rsidR="00D17CA8" w:rsidRPr="00D17CA8" w:rsidRDefault="00D17CA8" w:rsidP="00CB53FF">
            <w:pPr>
              <w:spacing w:after="120"/>
              <w:rPr>
                <w:noProof/>
                <w:sz w:val="20"/>
                <w:szCs w:val="20"/>
              </w:rPr>
            </w:pPr>
            <w:r w:rsidRPr="00D17CA8">
              <w:rPr>
                <w:noProof/>
                <w:sz w:val="20"/>
                <w:szCs w:val="20"/>
              </w:rPr>
              <w:t xml:space="preserve">-Distributions of profits limited in time or amount and performance-related </w:t>
            </w:r>
          </w:p>
          <w:p w14:paraId="67C7B809" w14:textId="64123517" w:rsidR="00D17CA8" w:rsidRPr="00D17CA8" w:rsidRDefault="00D17CA8" w:rsidP="00CB53FF">
            <w:pPr>
              <w:spacing w:after="120"/>
              <w:rPr>
                <w:noProof/>
                <w:sz w:val="20"/>
                <w:szCs w:val="20"/>
              </w:rPr>
            </w:pPr>
            <w:r w:rsidRPr="00D17CA8">
              <w:rPr>
                <w:noProof/>
                <w:sz w:val="20"/>
                <w:szCs w:val="20"/>
              </w:rPr>
              <w:t>-Enforceability of these rules through a mandatory supervision</w:t>
            </w:r>
          </w:p>
        </w:tc>
      </w:tr>
      <w:tr w:rsidR="00D17CA8" w:rsidRPr="00D17CA8" w14:paraId="02B91431" w14:textId="77777777" w:rsidTr="00961910">
        <w:trPr>
          <w:trHeight w:val="300"/>
        </w:trPr>
        <w:tc>
          <w:tcPr>
            <w:tcW w:w="1462" w:type="dxa"/>
          </w:tcPr>
          <w:p w14:paraId="469A677C" w14:textId="77777777" w:rsidR="00D17CA8" w:rsidRPr="008B27D3" w:rsidRDefault="00D17CA8">
            <w:pPr>
              <w:rPr>
                <w:b/>
                <w:noProof/>
                <w:sz w:val="20"/>
                <w:szCs w:val="20"/>
              </w:rPr>
            </w:pPr>
            <w:r w:rsidRPr="008B27D3">
              <w:rPr>
                <w:b/>
                <w:noProof/>
                <w:sz w:val="20"/>
                <w:szCs w:val="20"/>
              </w:rPr>
              <w:t xml:space="preserve">Cost of failure </w:t>
            </w:r>
          </w:p>
        </w:tc>
        <w:tc>
          <w:tcPr>
            <w:tcW w:w="2151" w:type="dxa"/>
          </w:tcPr>
          <w:p w14:paraId="2C80CDC0" w14:textId="77777777" w:rsidR="00D17CA8" w:rsidRPr="00D17CA8" w:rsidRDefault="00D17CA8" w:rsidP="006B6556">
            <w:pPr>
              <w:jc w:val="left"/>
              <w:rPr>
                <w:noProof/>
                <w:sz w:val="20"/>
                <w:szCs w:val="20"/>
              </w:rPr>
            </w:pPr>
            <w:r w:rsidRPr="00D17CA8">
              <w:rPr>
                <w:noProof/>
                <w:sz w:val="20"/>
                <w:szCs w:val="20"/>
              </w:rPr>
              <w:t>For economy and entrepreneurs</w:t>
            </w:r>
          </w:p>
        </w:tc>
        <w:tc>
          <w:tcPr>
            <w:tcW w:w="1598" w:type="dxa"/>
          </w:tcPr>
          <w:p w14:paraId="64620016" w14:textId="77777777" w:rsidR="00D17CA8" w:rsidRPr="00D17CA8" w:rsidRDefault="00D17CA8">
            <w:pPr>
              <w:rPr>
                <w:noProof/>
                <w:sz w:val="20"/>
                <w:szCs w:val="20"/>
              </w:rPr>
            </w:pPr>
            <w:r w:rsidRPr="00D17CA8">
              <w:rPr>
                <w:noProof/>
                <w:sz w:val="20"/>
                <w:szCs w:val="20"/>
              </w:rPr>
              <w:t xml:space="preserve">Few responses </w:t>
            </w:r>
          </w:p>
        </w:tc>
        <w:tc>
          <w:tcPr>
            <w:tcW w:w="3805" w:type="dxa"/>
          </w:tcPr>
          <w:p w14:paraId="1EAA34D2" w14:textId="77777777" w:rsidR="00D17CA8" w:rsidRPr="00D17CA8" w:rsidRDefault="00D17CA8" w:rsidP="006B6556">
            <w:pPr>
              <w:spacing w:after="120"/>
              <w:jc w:val="left"/>
              <w:rPr>
                <w:noProof/>
                <w:sz w:val="20"/>
                <w:szCs w:val="20"/>
              </w:rPr>
            </w:pPr>
            <w:r w:rsidRPr="00D17CA8">
              <w:rPr>
                <w:noProof/>
                <w:sz w:val="20"/>
                <w:szCs w:val="20"/>
              </w:rPr>
              <w:t>Opt-in basis: specialised courts to approve restructuring plans over minority objections</w:t>
            </w:r>
          </w:p>
        </w:tc>
      </w:tr>
    </w:tbl>
    <w:p w14:paraId="3B210D76" w14:textId="3C8A75A1" w:rsidR="009D4BD4" w:rsidRDefault="00764476" w:rsidP="009D4BD4">
      <w:pPr>
        <w:pStyle w:val="Heading1"/>
        <w:numPr>
          <w:ilvl w:val="0"/>
          <w:numId w:val="4"/>
        </w:numPr>
        <w:rPr>
          <w:noProof/>
        </w:rPr>
      </w:pPr>
      <w:bookmarkStart w:id="18" w:name="_Toc219390719"/>
      <w:r>
        <w:rPr>
          <w:noProof/>
        </w:rPr>
        <w:t xml:space="preserve">Main </w:t>
      </w:r>
      <w:r w:rsidR="00D556F8">
        <w:rPr>
          <w:noProof/>
        </w:rPr>
        <w:t xml:space="preserve">content of the </w:t>
      </w:r>
      <w:r w:rsidR="00AA2E4F">
        <w:rPr>
          <w:noProof/>
        </w:rPr>
        <w:t xml:space="preserve">draft </w:t>
      </w:r>
      <w:r w:rsidR="00D556F8">
        <w:rPr>
          <w:noProof/>
        </w:rPr>
        <w:t>JURI</w:t>
      </w:r>
      <w:r w:rsidR="004C62E6">
        <w:rPr>
          <w:noProof/>
        </w:rPr>
        <w:t xml:space="preserve"> own-initiative report</w:t>
      </w:r>
      <w:bookmarkEnd w:id="18"/>
    </w:p>
    <w:p w14:paraId="41978187" w14:textId="3E8BA17A" w:rsidR="00CB758D" w:rsidRDefault="00CB758D" w:rsidP="00CB758D">
      <w:pPr>
        <w:pStyle w:val="Text1"/>
        <w:spacing w:after="120"/>
        <w:ind w:left="-56"/>
        <w:rPr>
          <w:noProof/>
        </w:rPr>
      </w:pPr>
      <w:r w:rsidRPr="27B41328">
        <w:rPr>
          <w:noProof/>
        </w:rPr>
        <w:t>The</w:t>
      </w:r>
      <w:r w:rsidR="00520255">
        <w:rPr>
          <w:noProof/>
        </w:rPr>
        <w:t xml:space="preserve"> </w:t>
      </w:r>
      <w:r w:rsidR="00AA2E4F">
        <w:rPr>
          <w:noProof/>
        </w:rPr>
        <w:t>draft</w:t>
      </w:r>
      <w:r w:rsidR="00520255">
        <w:rPr>
          <w:noProof/>
        </w:rPr>
        <w:t xml:space="preserve"> </w:t>
      </w:r>
      <w:r w:rsidR="001075C9">
        <w:rPr>
          <w:noProof/>
        </w:rPr>
        <w:t>JURI report</w:t>
      </w:r>
      <w:r w:rsidR="00520255" w:rsidRPr="00520255">
        <w:rPr>
          <w:noProof/>
        </w:rPr>
        <w:t xml:space="preserve"> with recommendations to the Commission on the 28</w:t>
      </w:r>
      <w:r w:rsidR="00520255" w:rsidRPr="00CB53FF">
        <w:rPr>
          <w:noProof/>
          <w:vertAlign w:val="superscript"/>
        </w:rPr>
        <w:t>th</w:t>
      </w:r>
      <w:r w:rsidR="00520255" w:rsidRPr="00520255">
        <w:rPr>
          <w:noProof/>
        </w:rPr>
        <w:t xml:space="preserve"> Regime: a new legal framework for innovative companies</w:t>
      </w:r>
      <w:r w:rsidRPr="27B41328">
        <w:rPr>
          <w:noProof/>
        </w:rPr>
        <w:t>:</w:t>
      </w:r>
    </w:p>
    <w:p w14:paraId="6C50F780" w14:textId="0DED9D5A" w:rsidR="00CB758D" w:rsidRDefault="00CB758D" w:rsidP="00FD67C0">
      <w:pPr>
        <w:pStyle w:val="Text1"/>
        <w:numPr>
          <w:ilvl w:val="0"/>
          <w:numId w:val="11"/>
        </w:numPr>
        <w:spacing w:after="120"/>
        <w:ind w:left="426" w:hanging="284"/>
        <w:rPr>
          <w:noProof/>
        </w:rPr>
      </w:pPr>
      <w:r w:rsidRPr="27B41328">
        <w:rPr>
          <w:noProof/>
        </w:rPr>
        <w:t>acknowledges that significant differences in the regulatory frameworks of EU Member States create obstacles and associated costs that hinder the pan-European financing and scaling of companies, in particular SMEs, startups and scaleups;</w:t>
      </w:r>
    </w:p>
    <w:p w14:paraId="7933D312" w14:textId="566C7BF0" w:rsidR="00CB758D" w:rsidRDefault="00CB758D" w:rsidP="00FD67C0">
      <w:pPr>
        <w:pStyle w:val="NormalHanging12a"/>
        <w:numPr>
          <w:ilvl w:val="0"/>
          <w:numId w:val="11"/>
        </w:numPr>
        <w:spacing w:after="120"/>
        <w:ind w:left="426" w:hanging="284"/>
        <w:jc w:val="both"/>
        <w:rPr>
          <w:noProof/>
          <w:lang w:val="en-IE"/>
        </w:rPr>
      </w:pPr>
      <w:r w:rsidRPr="27B41328">
        <w:rPr>
          <w:noProof/>
          <w:lang w:val="en-IE"/>
        </w:rPr>
        <w:t>stresses that facilitating easier access to capital and talent through a simplified and uniform legal framework will enhance the ability of SMEs, startups and scaleups to compete globally, attract investment and contribute to job creation and social cohesion within the Union;</w:t>
      </w:r>
    </w:p>
    <w:p w14:paraId="54355731" w14:textId="77777777" w:rsidR="00CB758D" w:rsidRDefault="00CB758D" w:rsidP="00FD67C0">
      <w:pPr>
        <w:pStyle w:val="Text1"/>
        <w:numPr>
          <w:ilvl w:val="0"/>
          <w:numId w:val="11"/>
        </w:numPr>
        <w:spacing w:after="120"/>
        <w:ind w:left="426" w:hanging="284"/>
        <w:rPr>
          <w:noProof/>
        </w:rPr>
      </w:pPr>
      <w:r w:rsidRPr="27B41328">
        <w:rPr>
          <w:noProof/>
        </w:rPr>
        <w:t>welcomes the Commission’s commitment to submit a legislative proposal on the 28</w:t>
      </w:r>
      <w:r w:rsidRPr="27B41328">
        <w:rPr>
          <w:noProof/>
          <w:vertAlign w:val="superscript"/>
        </w:rPr>
        <w:t>th</w:t>
      </w:r>
      <w:r w:rsidRPr="27B41328">
        <w:rPr>
          <w:noProof/>
        </w:rPr>
        <w:t xml:space="preserve"> regime, which should mainly focus on company law rules;</w:t>
      </w:r>
    </w:p>
    <w:p w14:paraId="1D5EE42B" w14:textId="77777777" w:rsidR="00CB758D" w:rsidRDefault="00CB758D" w:rsidP="00FD67C0">
      <w:pPr>
        <w:pStyle w:val="Text1"/>
        <w:numPr>
          <w:ilvl w:val="0"/>
          <w:numId w:val="11"/>
        </w:numPr>
        <w:spacing w:after="120"/>
        <w:ind w:left="426" w:hanging="284"/>
        <w:rPr>
          <w:noProof/>
        </w:rPr>
      </w:pPr>
      <w:r w:rsidRPr="27B41328">
        <w:rPr>
          <w:noProof/>
        </w:rPr>
        <w:t>underlines the importance of uniform rules across the Union, which can be achieved through a regulation (as the most appropriate measure to introduce a 28</w:t>
      </w:r>
      <w:r w:rsidRPr="27B41328">
        <w:rPr>
          <w:noProof/>
          <w:vertAlign w:val="superscript"/>
        </w:rPr>
        <w:t>th</w:t>
      </w:r>
      <w:r w:rsidRPr="27B41328">
        <w:rPr>
          <w:noProof/>
        </w:rPr>
        <w:t xml:space="preserve"> regime) or a maximum harmonisation directive;</w:t>
      </w:r>
    </w:p>
    <w:p w14:paraId="5C6418A4" w14:textId="77777777" w:rsidR="00CB758D" w:rsidRPr="009D3AF1" w:rsidRDefault="00CB758D" w:rsidP="00FD67C0">
      <w:pPr>
        <w:pStyle w:val="Text1"/>
        <w:numPr>
          <w:ilvl w:val="0"/>
          <w:numId w:val="11"/>
        </w:numPr>
        <w:spacing w:after="120"/>
        <w:ind w:left="426" w:hanging="284"/>
        <w:rPr>
          <w:noProof/>
        </w:rPr>
      </w:pPr>
      <w:r w:rsidRPr="27B41328">
        <w:rPr>
          <w:noProof/>
        </w:rPr>
        <w:t>opposes the use of Article 352 TFEU as legal basis for the 28</w:t>
      </w:r>
      <w:r w:rsidRPr="27B41328">
        <w:rPr>
          <w:noProof/>
          <w:vertAlign w:val="superscript"/>
        </w:rPr>
        <w:t>th</w:t>
      </w:r>
      <w:r w:rsidRPr="27B41328">
        <w:rPr>
          <w:noProof/>
        </w:rPr>
        <w:t xml:space="preserve"> regime as t</w:t>
      </w:r>
      <w:r>
        <w:rPr>
          <w:noProof/>
        </w:rPr>
        <w:t>his</w:t>
      </w:r>
      <w:r w:rsidRPr="27B41328">
        <w:rPr>
          <w:noProof/>
        </w:rPr>
        <w:t xml:space="preserve"> </w:t>
      </w:r>
      <w:r>
        <w:rPr>
          <w:noProof/>
        </w:rPr>
        <w:t xml:space="preserve">would </w:t>
      </w:r>
      <w:r w:rsidRPr="27B41328">
        <w:rPr>
          <w:noProof/>
        </w:rPr>
        <w:t>require unanimity in Council, is critical of the use of enhanced cooperation as t</w:t>
      </w:r>
      <w:r>
        <w:rPr>
          <w:noProof/>
        </w:rPr>
        <w:t>his</w:t>
      </w:r>
      <w:r w:rsidRPr="27B41328">
        <w:rPr>
          <w:noProof/>
        </w:rPr>
        <w:t xml:space="preserve"> </w:t>
      </w:r>
      <w:r>
        <w:rPr>
          <w:noProof/>
        </w:rPr>
        <w:t xml:space="preserve">would </w:t>
      </w:r>
      <w:r w:rsidRPr="27B41328">
        <w:rPr>
          <w:noProof/>
        </w:rPr>
        <w:t>lead to fragmentation of the internal market, and considers Articles 50 and 114 TFEU as the appropriate legal basis for the corporate law matters of the 28</w:t>
      </w:r>
      <w:r w:rsidRPr="27B41328">
        <w:rPr>
          <w:noProof/>
          <w:vertAlign w:val="superscript"/>
        </w:rPr>
        <w:t>th</w:t>
      </w:r>
      <w:r w:rsidRPr="27B41328">
        <w:rPr>
          <w:noProof/>
        </w:rPr>
        <w:t xml:space="preserve"> regime </w:t>
      </w:r>
      <w:r>
        <w:rPr>
          <w:noProof/>
        </w:rPr>
        <w:t>–</w:t>
      </w:r>
      <w:r w:rsidRPr="009D3AF1">
        <w:rPr>
          <w:noProof/>
        </w:rPr>
        <w:t xml:space="preserve"> and in this context acknowledges that the 28</w:t>
      </w:r>
      <w:r w:rsidRPr="009D3AF1">
        <w:rPr>
          <w:noProof/>
          <w:vertAlign w:val="superscript"/>
        </w:rPr>
        <w:t>th</w:t>
      </w:r>
      <w:r w:rsidRPr="009D3AF1">
        <w:rPr>
          <w:noProof/>
        </w:rPr>
        <w:t xml:space="preserve"> regime might have to consist of a package of separate legislative proposals;</w:t>
      </w:r>
    </w:p>
    <w:p w14:paraId="07122F50" w14:textId="00E36F87" w:rsidR="00CB758D" w:rsidRDefault="00CB758D" w:rsidP="00FD67C0">
      <w:pPr>
        <w:pStyle w:val="Text1"/>
        <w:numPr>
          <w:ilvl w:val="0"/>
          <w:numId w:val="11"/>
        </w:numPr>
        <w:spacing w:after="120"/>
        <w:ind w:left="426" w:hanging="284"/>
        <w:rPr>
          <w:noProof/>
        </w:rPr>
      </w:pPr>
      <w:r w:rsidRPr="27B41328">
        <w:rPr>
          <w:noProof/>
          <w:shd w:val="clear" w:color="auto" w:fill="FFFFFF"/>
        </w:rPr>
        <w:t>c</w:t>
      </w:r>
      <w:r w:rsidRPr="27B41328">
        <w:rPr>
          <w:noProof/>
        </w:rPr>
        <w:t xml:space="preserve">onsiders that the corporate legal form should not be limited to a new category of ‘innovative companies’ or to other limiting factors, as that would create additional red tape and an unnecessary bureaucratic burden; </w:t>
      </w:r>
    </w:p>
    <w:p w14:paraId="5FADBA78" w14:textId="77777777" w:rsidR="00CB758D" w:rsidRPr="003D01AC" w:rsidRDefault="00CB758D" w:rsidP="00FD67C0">
      <w:pPr>
        <w:pStyle w:val="Text1"/>
        <w:numPr>
          <w:ilvl w:val="0"/>
          <w:numId w:val="11"/>
        </w:numPr>
        <w:spacing w:after="120"/>
        <w:ind w:left="426" w:hanging="284"/>
        <w:rPr>
          <w:noProof/>
        </w:rPr>
      </w:pPr>
      <w:r w:rsidRPr="27B41328">
        <w:rPr>
          <w:noProof/>
          <w:shd w:val="clear" w:color="auto" w:fill="FFFFFF"/>
        </w:rPr>
        <w:t>considers that only limited liability companies not listed on the stock market should be able to participate in the 28</w:t>
      </w:r>
      <w:r w:rsidRPr="27B41328">
        <w:rPr>
          <w:noProof/>
          <w:shd w:val="clear" w:color="auto" w:fill="FFFFFF"/>
          <w:vertAlign w:val="superscript"/>
        </w:rPr>
        <w:t>th</w:t>
      </w:r>
      <w:r w:rsidRPr="27B41328">
        <w:rPr>
          <w:noProof/>
          <w:shd w:val="clear" w:color="auto" w:fill="FFFFFF"/>
        </w:rPr>
        <w:t xml:space="preserve"> regime, which should be a set of rules that must be incorporated into existing or new national corporate forms;</w:t>
      </w:r>
    </w:p>
    <w:p w14:paraId="26D78674" w14:textId="77777777" w:rsidR="00CB758D" w:rsidRPr="003D01AC" w:rsidRDefault="00CB758D" w:rsidP="00FD67C0">
      <w:pPr>
        <w:pStyle w:val="Text1"/>
        <w:numPr>
          <w:ilvl w:val="0"/>
          <w:numId w:val="11"/>
        </w:numPr>
        <w:spacing w:after="120"/>
        <w:ind w:left="426" w:hanging="284"/>
        <w:rPr>
          <w:noProof/>
          <w:shd w:val="clear" w:color="auto" w:fill="FFFFFF"/>
        </w:rPr>
      </w:pPr>
      <w:r w:rsidRPr="27B41328">
        <w:rPr>
          <w:noProof/>
          <w:shd w:val="clear" w:color="auto" w:fill="FFFFFF"/>
        </w:rPr>
        <w:t>proposes naming the corporate form covered by the 28</w:t>
      </w:r>
      <w:r w:rsidRPr="27B41328">
        <w:rPr>
          <w:noProof/>
          <w:shd w:val="clear" w:color="auto" w:fill="FFFFFF"/>
          <w:vertAlign w:val="superscript"/>
        </w:rPr>
        <w:t>th</w:t>
      </w:r>
      <w:r w:rsidRPr="27B41328">
        <w:rPr>
          <w:noProof/>
          <w:shd w:val="clear" w:color="auto" w:fill="FFFFFF"/>
        </w:rPr>
        <w:t xml:space="preserve"> regime the Societas Europaea Unificata (S.EU</w:t>
      </w:r>
      <w:r w:rsidRPr="27B41328" w:rsidDel="006F5B52">
        <w:rPr>
          <w:noProof/>
          <w:shd w:val="clear" w:color="auto" w:fill="FFFFFF"/>
        </w:rPr>
        <w:t>)</w:t>
      </w:r>
      <w:r w:rsidRPr="27B41328">
        <w:rPr>
          <w:noProof/>
          <w:shd w:val="clear" w:color="auto" w:fill="FFFFFF"/>
        </w:rPr>
        <w:t>;</w:t>
      </w:r>
    </w:p>
    <w:p w14:paraId="354DE975" w14:textId="77777777" w:rsidR="00CB758D" w:rsidRPr="003D01AC" w:rsidRDefault="00CB758D" w:rsidP="00FD67C0">
      <w:pPr>
        <w:pStyle w:val="Text1"/>
        <w:numPr>
          <w:ilvl w:val="0"/>
          <w:numId w:val="11"/>
        </w:numPr>
        <w:spacing w:after="120"/>
        <w:ind w:left="426" w:hanging="284"/>
        <w:rPr>
          <w:noProof/>
          <w:shd w:val="clear" w:color="auto" w:fill="FFFFFF"/>
        </w:rPr>
      </w:pPr>
      <w:r w:rsidRPr="27B41328">
        <w:rPr>
          <w:noProof/>
        </w:rPr>
        <w:t>highlights the need for simple and digital company formation and registration of the S.EU to be completed digitally within 48 hours, while ensuring legal certainty;</w:t>
      </w:r>
    </w:p>
    <w:p w14:paraId="0901F4C4" w14:textId="293D14A4" w:rsidR="00CB758D" w:rsidRDefault="00CB758D" w:rsidP="00FD67C0">
      <w:pPr>
        <w:pStyle w:val="Text1"/>
        <w:numPr>
          <w:ilvl w:val="0"/>
          <w:numId w:val="11"/>
        </w:numPr>
        <w:spacing w:after="120"/>
        <w:ind w:left="426" w:hanging="284"/>
        <w:rPr>
          <w:noProof/>
        </w:rPr>
      </w:pPr>
      <w:r w:rsidRPr="13F64758">
        <w:rPr>
          <w:noProof/>
        </w:rPr>
        <w:t xml:space="preserve">calls for a uniform Union-level digital portal for S.EUs, complementing and extending the existing BRIS, and for further development and adaptation of a single Union-level company identifier;  </w:t>
      </w:r>
    </w:p>
    <w:p w14:paraId="2B17ACB7" w14:textId="77777777" w:rsidR="00CB758D" w:rsidRDefault="00CB758D" w:rsidP="00FD67C0">
      <w:pPr>
        <w:pStyle w:val="Text1"/>
        <w:numPr>
          <w:ilvl w:val="0"/>
          <w:numId w:val="11"/>
        </w:numPr>
        <w:spacing w:after="120"/>
        <w:ind w:left="426" w:hanging="284"/>
        <w:rPr>
          <w:noProof/>
        </w:rPr>
      </w:pPr>
      <w:r w:rsidRPr="27B41328">
        <w:rPr>
          <w:noProof/>
        </w:rPr>
        <w:t>calls for the elaboration of standardised multilingual model documents for shareholder agreements and articles of association to be used by S.EUs and recommends that these serve as optional default templates for the registration process, reducing drafting complexity and ensuring cross</w:t>
      </w:r>
      <w:r>
        <w:rPr>
          <w:noProof/>
        </w:rPr>
        <w:t>-</w:t>
      </w:r>
      <w:r w:rsidRPr="27B41328">
        <w:rPr>
          <w:noProof/>
        </w:rPr>
        <w:t>border legal clarity;</w:t>
      </w:r>
    </w:p>
    <w:p w14:paraId="4649B415" w14:textId="77777777" w:rsidR="00CB758D" w:rsidRDefault="00CB758D" w:rsidP="00FD67C0">
      <w:pPr>
        <w:pStyle w:val="Text1"/>
        <w:numPr>
          <w:ilvl w:val="0"/>
          <w:numId w:val="11"/>
        </w:numPr>
        <w:spacing w:after="120"/>
        <w:ind w:left="426" w:hanging="284"/>
        <w:rPr>
          <w:noProof/>
        </w:rPr>
      </w:pPr>
      <w:r w:rsidRPr="27B41328">
        <w:rPr>
          <w:noProof/>
        </w:rPr>
        <w:t>suggests that, for a company to be eligible to be registered as an S.EU, the immediately paid-in minimum capital requirement should be EUR 1, while calling for alternative mechanisms for ensuring the financial health of companies and mitigating risks to creditors, such as solvency tests;</w:t>
      </w:r>
    </w:p>
    <w:p w14:paraId="148E6E09" w14:textId="77777777" w:rsidR="00CB758D" w:rsidRDefault="00CB758D" w:rsidP="00FD67C0">
      <w:pPr>
        <w:pStyle w:val="Text1"/>
        <w:numPr>
          <w:ilvl w:val="0"/>
          <w:numId w:val="11"/>
        </w:numPr>
        <w:spacing w:after="120"/>
        <w:ind w:left="426" w:hanging="284"/>
        <w:rPr>
          <w:noProof/>
        </w:rPr>
      </w:pPr>
      <w:r w:rsidRPr="27B41328">
        <w:rPr>
          <w:noProof/>
        </w:rPr>
        <w:t>underlines that the 28</w:t>
      </w:r>
      <w:r w:rsidRPr="009C717C">
        <w:rPr>
          <w:noProof/>
          <w:vertAlign w:val="superscript"/>
        </w:rPr>
        <w:t>th</w:t>
      </w:r>
      <w:r w:rsidRPr="27B41328">
        <w:rPr>
          <w:noProof/>
        </w:rPr>
        <w:t xml:space="preserve"> regime </w:t>
      </w:r>
      <w:r w:rsidRPr="27B41328">
        <w:rPr>
          <w:noProof/>
          <w:shd w:val="clear" w:color="auto" w:fill="FFFFFF"/>
        </w:rPr>
        <w:t>must under no circumstances become a vehicle to undermine, reduce, weaken or circumvent existing levels of protection for weaker parties</w:t>
      </w:r>
      <w:r w:rsidRPr="27B41328">
        <w:rPr>
          <w:noProof/>
        </w:rPr>
        <w:t xml:space="preserve"> at the level of the Union or the Member States, and should be without prejudice to Union and national law in the area of labour and social law, therefore requiring effective</w:t>
      </w:r>
      <w:r w:rsidRPr="13F64758">
        <w:rPr>
          <w:b/>
          <w:bCs/>
          <w:i/>
          <w:iCs/>
          <w:noProof/>
        </w:rPr>
        <w:t xml:space="preserve"> </w:t>
      </w:r>
      <w:r w:rsidRPr="27B41328">
        <w:rPr>
          <w:noProof/>
        </w:rPr>
        <w:t>safeguards; with regard to employee participation in company boards, the draft resolution calls for ensuring that the artificial use of the S.EU with a view to circumvent current levels of employee participation protection in the law of the Member States is effectively prevented and proposes that in certain circumstances the rules of the Member State of the place of employment should apply;</w:t>
      </w:r>
    </w:p>
    <w:p w14:paraId="37201208" w14:textId="77777777" w:rsidR="00CB758D" w:rsidRPr="00FF7AD6" w:rsidRDefault="00CB758D" w:rsidP="00FD67C0">
      <w:pPr>
        <w:pStyle w:val="NormalHanging12a"/>
        <w:numPr>
          <w:ilvl w:val="0"/>
          <w:numId w:val="11"/>
        </w:numPr>
        <w:spacing w:after="120"/>
        <w:ind w:left="426" w:hanging="284"/>
        <w:jc w:val="both"/>
        <w:rPr>
          <w:noProof/>
          <w:lang w:val="en-IE"/>
        </w:rPr>
      </w:pPr>
      <w:r w:rsidRPr="27B41328">
        <w:rPr>
          <w:noProof/>
          <w:shd w:val="clear" w:color="auto" w:fill="FFFFFF"/>
          <w:lang w:val="en-IE"/>
        </w:rPr>
        <w:t>as protections against</w:t>
      </w:r>
      <w:r w:rsidRPr="27B41328">
        <w:rPr>
          <w:noProof/>
          <w:lang w:val="en-IE"/>
        </w:rPr>
        <w:t xml:space="preserve"> ‘killer acquisitions’ leading to the relocation of innovation outside of the Union, calls for including optional forms of steward ownership, asset locks and different classes of shares, especially loyalty shares and dual-class shares, including veto shares;</w:t>
      </w:r>
    </w:p>
    <w:p w14:paraId="646090AD" w14:textId="5A6A6448" w:rsidR="00CB758D" w:rsidRDefault="00CB758D" w:rsidP="00FD67C0">
      <w:pPr>
        <w:pStyle w:val="NormalHanging12a"/>
        <w:numPr>
          <w:ilvl w:val="0"/>
          <w:numId w:val="11"/>
        </w:numPr>
        <w:spacing w:after="120"/>
        <w:ind w:left="426" w:hanging="284"/>
        <w:jc w:val="both"/>
        <w:rPr>
          <w:noProof/>
          <w:lang w:val="en-IE"/>
        </w:rPr>
      </w:pPr>
      <w:r w:rsidRPr="27B41328">
        <w:rPr>
          <w:noProof/>
          <w:lang w:val="en-IE"/>
        </w:rPr>
        <w:t xml:space="preserve">with a view to facilitate attracting talent, calls for harmonisation of </w:t>
      </w:r>
      <w:r w:rsidRPr="27B41328">
        <w:rPr>
          <w:noProof/>
          <w:shd w:val="clear" w:color="auto" w:fill="FFFFFF"/>
          <w:lang w:val="en-IE"/>
        </w:rPr>
        <w:t>rules for employee financial participation</w:t>
      </w:r>
      <w:r w:rsidRPr="27B41328">
        <w:rPr>
          <w:noProof/>
          <w:lang w:val="en-IE"/>
        </w:rPr>
        <w:t xml:space="preserve"> through employee stock ownership plans (ESOPs) and employee stock options;</w:t>
      </w:r>
    </w:p>
    <w:p w14:paraId="679B1988" w14:textId="77777777" w:rsidR="00CB758D" w:rsidRPr="00E85C6B" w:rsidRDefault="00CB758D" w:rsidP="00FD67C0">
      <w:pPr>
        <w:pStyle w:val="NormalHanging12a"/>
        <w:numPr>
          <w:ilvl w:val="0"/>
          <w:numId w:val="11"/>
        </w:numPr>
        <w:spacing w:after="120"/>
        <w:ind w:left="426" w:hanging="284"/>
        <w:jc w:val="both"/>
        <w:rPr>
          <w:noProof/>
          <w:lang w:val="en-IE"/>
        </w:rPr>
      </w:pPr>
      <w:r w:rsidRPr="27B41328">
        <w:rPr>
          <w:noProof/>
          <w:lang w:val="en-IE"/>
        </w:rPr>
        <w:t xml:space="preserve">calls for a range of measures to facilitate access to finance, including </w:t>
      </w:r>
      <w:r w:rsidRPr="27B41328">
        <w:rPr>
          <w:noProof/>
          <w:shd w:val="clear" w:color="auto" w:fill="FFFFFF"/>
          <w:lang w:val="en-IE"/>
        </w:rPr>
        <w:t>harmonised rules on equity-like debt instruments (such as</w:t>
      </w:r>
      <w:r w:rsidRPr="27B41328">
        <w:rPr>
          <w:noProof/>
          <w:lang w:val="en-IE"/>
        </w:rPr>
        <w:t xml:space="preserve"> profit participation rights, silent partnerships or profit-l</w:t>
      </w:r>
      <w:r w:rsidRPr="27B41328">
        <w:rPr>
          <w:noProof/>
          <w:shd w:val="clear" w:color="auto" w:fill="FFFFFF"/>
          <w:lang w:val="en-IE"/>
        </w:rPr>
        <w:t>inked loans) on a contractual basis;</w:t>
      </w:r>
      <w:r w:rsidRPr="13F64758">
        <w:rPr>
          <w:noProof/>
          <w:lang w:val="en-IE"/>
        </w:rPr>
        <w:t xml:space="preserve"> and</w:t>
      </w:r>
    </w:p>
    <w:p w14:paraId="442F6AB2" w14:textId="77777777" w:rsidR="00CB758D" w:rsidRDefault="00CB758D" w:rsidP="00FD67C0">
      <w:pPr>
        <w:pStyle w:val="NormalHanging12a"/>
        <w:numPr>
          <w:ilvl w:val="0"/>
          <w:numId w:val="11"/>
        </w:numPr>
        <w:spacing w:after="0"/>
        <w:ind w:left="426" w:hanging="284"/>
        <w:jc w:val="both"/>
        <w:rPr>
          <w:noProof/>
          <w:lang w:val="en-IE"/>
        </w:rPr>
      </w:pPr>
      <w:r w:rsidRPr="27B41328">
        <w:rPr>
          <w:noProof/>
          <w:lang w:val="en-IE"/>
        </w:rPr>
        <w:t xml:space="preserve">considers that an alternative dispute resolution mechanism should be established for disputes relating to </w:t>
      </w:r>
      <w:r w:rsidRPr="27B41328">
        <w:rPr>
          <w:noProof/>
          <w:shd w:val="clear" w:color="auto" w:fill="FFFFFF"/>
          <w:lang w:val="en-IE"/>
        </w:rPr>
        <w:t>S.EUs</w:t>
      </w:r>
      <w:r w:rsidRPr="27B41328">
        <w:rPr>
          <w:noProof/>
          <w:lang w:val="en-IE"/>
        </w:rPr>
        <w:t xml:space="preserve"> to ensure fast and specialised dispute resolution, that Member States should consider introducing a special panel within their national courts dedicated to such disputes</w:t>
      </w:r>
      <w:r w:rsidRPr="13F64758">
        <w:rPr>
          <w:noProof/>
          <w:lang w:val="en-IE"/>
        </w:rPr>
        <w:t>;</w:t>
      </w:r>
      <w:r w:rsidRPr="27B41328">
        <w:rPr>
          <w:noProof/>
          <w:lang w:val="en-IE"/>
        </w:rPr>
        <w:t xml:space="preserve"> furthermore, Parliament calls for these panels to conduct proceedings in English to support cross border accessibility.</w:t>
      </w:r>
    </w:p>
    <w:p w14:paraId="6A1D04E7" w14:textId="77777777" w:rsidR="00CB758D" w:rsidRPr="00856370" w:rsidRDefault="00CB758D" w:rsidP="00CB758D">
      <w:pPr>
        <w:pStyle w:val="Text1"/>
        <w:spacing w:after="0"/>
        <w:ind w:left="426" w:hanging="284"/>
        <w:rPr>
          <w:noProof/>
        </w:rPr>
      </w:pPr>
    </w:p>
    <w:p w14:paraId="51A12702" w14:textId="2A85B241" w:rsidR="004C62E6" w:rsidRPr="004C62E6" w:rsidRDefault="00CB758D" w:rsidP="0094087A">
      <w:pPr>
        <w:pStyle w:val="Text1"/>
        <w:ind w:left="0"/>
        <w:rPr>
          <w:noProof/>
        </w:rPr>
      </w:pPr>
      <w:r w:rsidRPr="27B41328">
        <w:rPr>
          <w:noProof/>
        </w:rPr>
        <w:t xml:space="preserve">The </w:t>
      </w:r>
      <w:r>
        <w:rPr>
          <w:noProof/>
        </w:rPr>
        <w:t>a</w:t>
      </w:r>
      <w:r w:rsidRPr="27B41328">
        <w:rPr>
          <w:noProof/>
        </w:rPr>
        <w:t xml:space="preserve">nnex </w:t>
      </w:r>
      <w:r>
        <w:rPr>
          <w:noProof/>
        </w:rPr>
        <w:t xml:space="preserve">to the motion for resolution </w:t>
      </w:r>
      <w:r w:rsidRPr="27B41328">
        <w:rPr>
          <w:noProof/>
        </w:rPr>
        <w:t xml:space="preserve">contains recommendations that concern general principles and the legal basis, scope, creation of the corporate form, safeguards, encouraging long-term strategies and optional forms, attracting and supporting talent, attracting capital, specialised dispute resolution, </w:t>
      </w:r>
      <w:r w:rsidR="00847CA4">
        <w:rPr>
          <w:noProof/>
        </w:rPr>
        <w:t>i</w:t>
      </w:r>
      <w:r w:rsidRPr="27B41328">
        <w:rPr>
          <w:noProof/>
        </w:rPr>
        <w:t xml:space="preserve">mpact </w:t>
      </w:r>
      <w:r w:rsidR="00847CA4">
        <w:rPr>
          <w:noProof/>
        </w:rPr>
        <w:t>a</w:t>
      </w:r>
      <w:r w:rsidRPr="27B41328">
        <w:rPr>
          <w:noProof/>
        </w:rPr>
        <w:t xml:space="preserve">ssessment, </w:t>
      </w:r>
      <w:r w:rsidR="00847CA4">
        <w:rPr>
          <w:noProof/>
        </w:rPr>
        <w:t>r</w:t>
      </w:r>
      <w:r w:rsidRPr="27B41328">
        <w:rPr>
          <w:noProof/>
        </w:rPr>
        <w:t xml:space="preserve">eview and </w:t>
      </w:r>
      <w:r w:rsidR="00847CA4">
        <w:rPr>
          <w:noProof/>
        </w:rPr>
        <w:t>e</w:t>
      </w:r>
      <w:r w:rsidRPr="27B41328">
        <w:rPr>
          <w:noProof/>
        </w:rPr>
        <w:t>valuation</w:t>
      </w:r>
      <w:r>
        <w:rPr>
          <w:noProof/>
        </w:rPr>
        <w:t>.</w:t>
      </w:r>
    </w:p>
    <w:p w14:paraId="6D8F9462" w14:textId="4FC09F58" w:rsidR="00CE61C9" w:rsidRDefault="00CE61C9" w:rsidP="004369AB">
      <w:pPr>
        <w:spacing w:after="120"/>
        <w:rPr>
          <w:rFonts w:eastAsia="Times New Roman"/>
          <w:b/>
          <w:smallCaps/>
          <w:noProof/>
          <w:sz w:val="32"/>
          <w:szCs w:val="32"/>
        </w:rPr>
      </w:pPr>
      <w:r>
        <w:rPr>
          <w:noProof/>
        </w:rPr>
        <w:br w:type="page"/>
      </w:r>
    </w:p>
    <w:p w14:paraId="39C202C8" w14:textId="324D1683" w:rsidR="006B087E" w:rsidRPr="007073AD" w:rsidRDefault="006B087E" w:rsidP="00C22AB4">
      <w:pPr>
        <w:pStyle w:val="AnnexTitle"/>
        <w:rPr>
          <w:noProof/>
          <w:lang w:val="en-IE"/>
        </w:rPr>
      </w:pPr>
      <w:bookmarkStart w:id="19" w:name="_Toc219390720"/>
      <w:r w:rsidRPr="007073AD">
        <w:rPr>
          <w:noProof/>
          <w:lang w:val="en-IE"/>
        </w:rPr>
        <w:t>Annex 3: Who is affected and how?</w:t>
      </w:r>
      <w:bookmarkEnd w:id="19"/>
    </w:p>
    <w:p w14:paraId="5E8FC2CC" w14:textId="4FF17AE4" w:rsidR="00050B77" w:rsidRPr="007073AD" w:rsidRDefault="006B087E" w:rsidP="00050B77">
      <w:pPr>
        <w:pStyle w:val="Heading1"/>
        <w:numPr>
          <w:ilvl w:val="0"/>
          <w:numId w:val="5"/>
        </w:numPr>
        <w:rPr>
          <w:noProof/>
          <w:lang w:val="en-IE"/>
        </w:rPr>
      </w:pPr>
      <w:bookmarkStart w:id="20" w:name="_Toc219390721"/>
      <w:r w:rsidRPr="007073AD">
        <w:rPr>
          <w:noProof/>
          <w:lang w:val="en-IE"/>
        </w:rPr>
        <w:t>Practical implications of the initiative</w:t>
      </w:r>
      <w:bookmarkEnd w:id="20"/>
    </w:p>
    <w:p w14:paraId="6DA9BD81" w14:textId="0B523C43" w:rsidR="00814500" w:rsidRDefault="00C1288E" w:rsidP="00814500">
      <w:pPr>
        <w:pStyle w:val="Text1"/>
        <w:ind w:left="0"/>
        <w:rPr>
          <w:noProof/>
        </w:rPr>
      </w:pPr>
      <w:r w:rsidRPr="00615539">
        <w:rPr>
          <w:b/>
          <w:noProof/>
        </w:rPr>
        <w:t>Businesses</w:t>
      </w:r>
      <w:r w:rsidR="00A9672D">
        <w:rPr>
          <w:b/>
          <w:noProof/>
        </w:rPr>
        <w:t xml:space="preserve"> </w:t>
      </w:r>
      <w:r w:rsidR="00D4535E">
        <w:rPr>
          <w:noProof/>
        </w:rPr>
        <w:t>taking</w:t>
      </w:r>
      <w:r w:rsidR="00557AA6">
        <w:rPr>
          <w:noProof/>
        </w:rPr>
        <w:t xml:space="preserve"> on the legal form of a 28</w:t>
      </w:r>
      <w:r w:rsidR="00557AA6" w:rsidRPr="00AE6419">
        <w:rPr>
          <w:noProof/>
          <w:vertAlign w:val="superscript"/>
        </w:rPr>
        <w:t>th</w:t>
      </w:r>
      <w:r w:rsidR="00557AA6">
        <w:rPr>
          <w:noProof/>
        </w:rPr>
        <w:t xml:space="preserve"> regime company </w:t>
      </w:r>
      <w:r w:rsidR="00E8234E">
        <w:rPr>
          <w:noProof/>
        </w:rPr>
        <w:t xml:space="preserve">will </w:t>
      </w:r>
      <w:r w:rsidR="00A9672D">
        <w:rPr>
          <w:noProof/>
        </w:rPr>
        <w:t xml:space="preserve">be positively affected </w:t>
      </w:r>
      <w:r w:rsidR="005506C2">
        <w:rPr>
          <w:noProof/>
        </w:rPr>
        <w:t xml:space="preserve">at each step of their lifecycle. </w:t>
      </w:r>
      <w:r w:rsidR="00557AA6">
        <w:rPr>
          <w:noProof/>
        </w:rPr>
        <w:t xml:space="preserve">The initiative will </w:t>
      </w:r>
      <w:r w:rsidR="004048BD">
        <w:rPr>
          <w:noProof/>
        </w:rPr>
        <w:t>in</w:t>
      </w:r>
      <w:r w:rsidR="00557AA6">
        <w:rPr>
          <w:noProof/>
        </w:rPr>
        <w:t xml:space="preserve"> particular benefit startups and scaleups, as it responds in many of its features to their needs, and </w:t>
      </w:r>
      <w:r w:rsidR="00E046B1">
        <w:rPr>
          <w:noProof/>
        </w:rPr>
        <w:t xml:space="preserve">also </w:t>
      </w:r>
      <w:r w:rsidR="00557AA6">
        <w:rPr>
          <w:noProof/>
        </w:rPr>
        <w:t xml:space="preserve">companies active across the EU. </w:t>
      </w:r>
      <w:r w:rsidR="000F4CF5">
        <w:rPr>
          <w:noProof/>
        </w:rPr>
        <w:t>Companies will benefit from simpler and more efficient registration procedures with t</w:t>
      </w:r>
      <w:r w:rsidR="000F4CF5" w:rsidRPr="007E7E76">
        <w:rPr>
          <w:noProof/>
        </w:rPr>
        <w:t>he application of once-only principle</w:t>
      </w:r>
      <w:r w:rsidR="000F4CF5">
        <w:rPr>
          <w:noProof/>
        </w:rPr>
        <w:t xml:space="preserve"> and no need to pay in minimum share capital at incorporation. The benefits would also come from the introduction of </w:t>
      </w:r>
      <w:r>
        <w:rPr>
          <w:noProof/>
        </w:rPr>
        <w:t xml:space="preserve">the </w:t>
      </w:r>
      <w:r w:rsidR="000F4CF5">
        <w:rPr>
          <w:noProof/>
        </w:rPr>
        <w:t xml:space="preserve">common </w:t>
      </w:r>
      <w:r w:rsidR="000F4CF5" w:rsidRPr="00FD6B53">
        <w:rPr>
          <w:noProof/>
        </w:rPr>
        <w:t>EU-ESO with a harmonised timing of taxation</w:t>
      </w:r>
      <w:r w:rsidR="00EA37D8">
        <w:rPr>
          <w:noProof/>
        </w:rPr>
        <w:t xml:space="preserve"> </w:t>
      </w:r>
      <w:r w:rsidR="00C72733">
        <w:rPr>
          <w:noProof/>
        </w:rPr>
        <w:t xml:space="preserve">of </w:t>
      </w:r>
      <w:r w:rsidR="00720ED4">
        <w:rPr>
          <w:noProof/>
        </w:rPr>
        <w:t>income from employee stock options</w:t>
      </w:r>
      <w:r w:rsidR="000F4CF5">
        <w:rPr>
          <w:noProof/>
        </w:rPr>
        <w:t>, as well as from measures to simplify and digitalise closure procedures for those 28</w:t>
      </w:r>
      <w:r w:rsidR="000F4CF5" w:rsidRPr="002C6802">
        <w:rPr>
          <w:noProof/>
          <w:vertAlign w:val="superscript"/>
        </w:rPr>
        <w:t>th</w:t>
      </w:r>
      <w:r w:rsidR="000F4CF5">
        <w:rPr>
          <w:noProof/>
        </w:rPr>
        <w:t xml:space="preserve"> regime companies which will need to </w:t>
      </w:r>
      <w:r w:rsidR="00E062E1">
        <w:rPr>
          <w:noProof/>
        </w:rPr>
        <w:t>be</w:t>
      </w:r>
      <w:r w:rsidR="000F4CF5">
        <w:rPr>
          <w:noProof/>
        </w:rPr>
        <w:t xml:space="preserve"> liquidate</w:t>
      </w:r>
      <w:r w:rsidR="00E062E1">
        <w:rPr>
          <w:noProof/>
        </w:rPr>
        <w:t>d</w:t>
      </w:r>
      <w:r w:rsidR="000F4CF5" w:rsidRPr="0019490B">
        <w:rPr>
          <w:noProof/>
        </w:rPr>
        <w:t>.</w:t>
      </w:r>
      <w:r w:rsidR="00E30E31">
        <w:rPr>
          <w:noProof/>
        </w:rPr>
        <w:t xml:space="preserve"> </w:t>
      </w:r>
      <w:r w:rsidR="000F4CF5" w:rsidRPr="00BA3CDB">
        <w:rPr>
          <w:noProof/>
        </w:rPr>
        <w:t xml:space="preserve">The savings </w:t>
      </w:r>
      <w:r w:rsidR="000F4CF5" w:rsidRPr="00BA3CDB">
        <w:rPr>
          <w:noProof/>
          <w:lang w:val="en-IE"/>
        </w:rPr>
        <w:t xml:space="preserve">are </w:t>
      </w:r>
      <w:r w:rsidR="000F4CF5" w:rsidRPr="00BA3CDB">
        <w:rPr>
          <w:noProof/>
        </w:rPr>
        <w:t xml:space="preserve">estimated at between </w:t>
      </w:r>
      <w:r w:rsidR="000F4CF5" w:rsidRPr="00BA3CDB">
        <w:rPr>
          <w:noProof/>
          <w:lang w:val="en-US"/>
        </w:rPr>
        <w:t xml:space="preserve">EUR 328 million </w:t>
      </w:r>
      <w:r w:rsidR="000F4CF5" w:rsidRPr="00BA3CDB">
        <w:rPr>
          <w:noProof/>
        </w:rPr>
        <w:t xml:space="preserve">and EUR </w:t>
      </w:r>
      <w:r w:rsidR="000F4CF5" w:rsidRPr="00BA3CDB">
        <w:rPr>
          <w:noProof/>
          <w:lang w:val="en-US"/>
        </w:rPr>
        <w:t xml:space="preserve">440 million </w:t>
      </w:r>
      <w:r w:rsidR="000F4CF5" w:rsidRPr="00BA3CDB">
        <w:rPr>
          <w:noProof/>
        </w:rPr>
        <w:t>over a period of 10 years</w:t>
      </w:r>
      <w:r w:rsidR="00E30E31">
        <w:rPr>
          <w:noProof/>
          <w:color w:val="000000" w:themeColor="text1"/>
          <w:lang w:eastAsia="en-IE"/>
        </w:rPr>
        <w:t xml:space="preserve">. </w:t>
      </w:r>
      <w:r w:rsidR="00884303">
        <w:rPr>
          <w:noProof/>
          <w:color w:val="000000" w:themeColor="text1"/>
          <w:lang w:eastAsia="en-IE"/>
        </w:rPr>
        <w:t>28</w:t>
      </w:r>
      <w:r w:rsidR="00884303" w:rsidRPr="007E2660">
        <w:rPr>
          <w:noProof/>
          <w:color w:val="000000" w:themeColor="text1"/>
          <w:vertAlign w:val="superscript"/>
          <w:lang w:eastAsia="en-IE"/>
        </w:rPr>
        <w:t>th</w:t>
      </w:r>
      <w:r w:rsidR="00884303">
        <w:rPr>
          <w:noProof/>
          <w:color w:val="000000" w:themeColor="text1"/>
          <w:lang w:eastAsia="en-IE"/>
        </w:rPr>
        <w:t xml:space="preserve"> regime c</w:t>
      </w:r>
      <w:r w:rsidR="000F4CF5">
        <w:rPr>
          <w:noProof/>
          <w:color w:val="000000" w:themeColor="text1"/>
          <w:lang w:eastAsia="en-IE"/>
        </w:rPr>
        <w:t>ompanies will also benefit from</w:t>
      </w:r>
      <w:r w:rsidR="000F4CF5" w:rsidRPr="00410654">
        <w:rPr>
          <w:noProof/>
        </w:rPr>
        <w:t xml:space="preserve"> </w:t>
      </w:r>
      <w:r w:rsidR="000F4CF5">
        <w:rPr>
          <w:noProof/>
        </w:rPr>
        <w:t xml:space="preserve">digital procedures and simplifications of capital operations, including capital increases. </w:t>
      </w:r>
      <w:r w:rsidR="00814500">
        <w:rPr>
          <w:noProof/>
        </w:rPr>
        <w:t xml:space="preserve">Further benefits for companies would come from the </w:t>
      </w:r>
      <w:r w:rsidR="00814500" w:rsidRPr="00410654">
        <w:rPr>
          <w:noProof/>
          <w:color w:val="000000" w:themeColor="text1"/>
        </w:rPr>
        <w:t>digital tools for corporate law procedures</w:t>
      </w:r>
      <w:r w:rsidR="00814500">
        <w:rPr>
          <w:noProof/>
          <w:color w:val="000000" w:themeColor="text1"/>
        </w:rPr>
        <w:t>, including</w:t>
      </w:r>
      <w:r w:rsidR="00814500" w:rsidRPr="00410654">
        <w:rPr>
          <w:noProof/>
          <w:color w:val="000000" w:themeColor="text1"/>
        </w:rPr>
        <w:t xml:space="preserve"> allowing for online shareholder and board of direct meetings.</w:t>
      </w:r>
      <w:r w:rsidR="00814500">
        <w:rPr>
          <w:noProof/>
          <w:color w:val="000000" w:themeColor="text1"/>
        </w:rPr>
        <w:t xml:space="preserve"> </w:t>
      </w:r>
      <w:r w:rsidR="00814500">
        <w:rPr>
          <w:noProof/>
        </w:rPr>
        <w:t>At the same time, only limited one-off adjustment costs would be expected for companies, in particular for those already existing companies which would convert into 28</w:t>
      </w:r>
      <w:r w:rsidR="00814500" w:rsidRPr="004324D4">
        <w:rPr>
          <w:noProof/>
          <w:vertAlign w:val="superscript"/>
        </w:rPr>
        <w:t>th</w:t>
      </w:r>
      <w:r w:rsidR="00814500" w:rsidDel="00A57142">
        <w:rPr>
          <w:noProof/>
        </w:rPr>
        <w:t xml:space="preserve"> </w:t>
      </w:r>
      <w:r w:rsidR="00814500">
        <w:rPr>
          <w:noProof/>
        </w:rPr>
        <w:t xml:space="preserve">regime companies and therefore, would need to adapt </w:t>
      </w:r>
      <w:r w:rsidR="00814500" w:rsidRPr="003502FA">
        <w:rPr>
          <w:noProof/>
        </w:rPr>
        <w:t xml:space="preserve">internal processes to use digital </w:t>
      </w:r>
      <w:r w:rsidR="00814500">
        <w:rPr>
          <w:noProof/>
        </w:rPr>
        <w:t xml:space="preserve">procedures. </w:t>
      </w:r>
    </w:p>
    <w:p w14:paraId="105AC48B" w14:textId="66AF165D" w:rsidR="002D25F3" w:rsidRDefault="00C1288E" w:rsidP="00882DC2">
      <w:pPr>
        <w:pStyle w:val="Text1"/>
        <w:ind w:left="0"/>
        <w:rPr>
          <w:noProof/>
        </w:rPr>
      </w:pPr>
      <w:r w:rsidRPr="00BB1CE3">
        <w:rPr>
          <w:b/>
          <w:noProof/>
        </w:rPr>
        <w:t>Investors</w:t>
      </w:r>
      <w:r w:rsidR="006860C7">
        <w:rPr>
          <w:b/>
          <w:noProof/>
        </w:rPr>
        <w:t>, including venture capitalist</w:t>
      </w:r>
      <w:r w:rsidR="00663EDE">
        <w:rPr>
          <w:b/>
          <w:noProof/>
        </w:rPr>
        <w:t xml:space="preserve"> and other early-stage investors</w:t>
      </w:r>
      <w:r w:rsidR="006860C7">
        <w:rPr>
          <w:b/>
          <w:noProof/>
        </w:rPr>
        <w:t>,</w:t>
      </w:r>
      <w:r w:rsidR="002D25F3">
        <w:rPr>
          <w:b/>
          <w:noProof/>
        </w:rPr>
        <w:t xml:space="preserve"> </w:t>
      </w:r>
      <w:r w:rsidR="00906399">
        <w:rPr>
          <w:bCs/>
          <w:noProof/>
        </w:rPr>
        <w:t xml:space="preserve">investing </w:t>
      </w:r>
      <w:r w:rsidR="00FC65CA">
        <w:rPr>
          <w:bCs/>
          <w:noProof/>
        </w:rPr>
        <w:t>in 28</w:t>
      </w:r>
      <w:r w:rsidR="00FC65CA" w:rsidRPr="00882DC2">
        <w:rPr>
          <w:bCs/>
          <w:noProof/>
          <w:vertAlign w:val="superscript"/>
        </w:rPr>
        <w:t>th</w:t>
      </w:r>
      <w:r w:rsidR="00FC65CA">
        <w:rPr>
          <w:bCs/>
          <w:noProof/>
        </w:rPr>
        <w:t xml:space="preserve"> regime companies will </w:t>
      </w:r>
      <w:r w:rsidR="002D25F3" w:rsidRPr="421A18F4">
        <w:rPr>
          <w:noProof/>
        </w:rPr>
        <w:t>benefit from administrative burden reduction, including</w:t>
      </w:r>
      <w:r w:rsidR="002D25F3">
        <w:rPr>
          <w:noProof/>
        </w:rPr>
        <w:t xml:space="preserve"> </w:t>
      </w:r>
      <w:r w:rsidR="002D25F3" w:rsidRPr="421A18F4">
        <w:rPr>
          <w:noProof/>
        </w:rPr>
        <w:t>due to</w:t>
      </w:r>
      <w:r w:rsidR="002D25F3">
        <w:rPr>
          <w:noProof/>
        </w:rPr>
        <w:t xml:space="preserve"> </w:t>
      </w:r>
      <w:r w:rsidR="002D25F3" w:rsidRPr="421A18F4">
        <w:rPr>
          <w:noProof/>
        </w:rPr>
        <w:t xml:space="preserve">reduced time and less costs linked to </w:t>
      </w:r>
      <w:r w:rsidR="002D25F3">
        <w:rPr>
          <w:noProof/>
        </w:rPr>
        <w:t>due diligence about legal requirements</w:t>
      </w:r>
      <w:r w:rsidR="00221A98">
        <w:rPr>
          <w:noProof/>
        </w:rPr>
        <w:t xml:space="preserve"> and legal uncertainty regarding expected economic and </w:t>
      </w:r>
      <w:r w:rsidR="006860C7">
        <w:rPr>
          <w:noProof/>
        </w:rPr>
        <w:t>control rights</w:t>
      </w:r>
      <w:r w:rsidR="000A7D4C">
        <w:rPr>
          <w:noProof/>
        </w:rPr>
        <w:t xml:space="preserve">. They will also </w:t>
      </w:r>
      <w:r w:rsidR="00FD667E">
        <w:rPr>
          <w:noProof/>
        </w:rPr>
        <w:t xml:space="preserve">benefit from </w:t>
      </w:r>
      <w:r w:rsidR="00705AC8">
        <w:rPr>
          <w:noProof/>
        </w:rPr>
        <w:t>cost reductions</w:t>
      </w:r>
      <w:r w:rsidR="00FD667E">
        <w:rPr>
          <w:noProof/>
        </w:rPr>
        <w:t xml:space="preserve"> </w:t>
      </w:r>
      <w:r w:rsidR="005F1C75">
        <w:rPr>
          <w:noProof/>
        </w:rPr>
        <w:t>due</w:t>
      </w:r>
      <w:r w:rsidR="00706992">
        <w:rPr>
          <w:noProof/>
        </w:rPr>
        <w:t xml:space="preserve"> to </w:t>
      </w:r>
      <w:r w:rsidR="007F54E3">
        <w:rPr>
          <w:noProof/>
        </w:rPr>
        <w:t xml:space="preserve">the </w:t>
      </w:r>
      <w:r w:rsidR="00D906FE">
        <w:rPr>
          <w:noProof/>
        </w:rPr>
        <w:t>removal of</w:t>
      </w:r>
      <w:r w:rsidR="002D25F3" w:rsidRPr="421A18F4">
        <w:rPr>
          <w:noProof/>
        </w:rPr>
        <w:t xml:space="preserve"> in-person formalities for share transfers </w:t>
      </w:r>
      <w:r w:rsidR="002D25F3">
        <w:rPr>
          <w:noProof/>
        </w:rPr>
        <w:t xml:space="preserve">and </w:t>
      </w:r>
      <w:r w:rsidR="002D25F3" w:rsidRPr="421A18F4">
        <w:rPr>
          <w:noProof/>
        </w:rPr>
        <w:t>mandatory involvement of notaries and other intermediaries</w:t>
      </w:r>
      <w:r w:rsidR="002D25F3">
        <w:rPr>
          <w:noProof/>
        </w:rPr>
        <w:t>,</w:t>
      </w:r>
      <w:r w:rsidR="002D25F3" w:rsidRPr="421A18F4">
        <w:rPr>
          <w:noProof/>
        </w:rPr>
        <w:t xml:space="preserve"> with the estimated saving of </w:t>
      </w:r>
      <w:r w:rsidR="002D25F3">
        <w:rPr>
          <w:noProof/>
        </w:rPr>
        <w:t>EUR</w:t>
      </w:r>
      <w:r w:rsidR="002D25F3">
        <w:rPr>
          <w:rFonts w:ascii="Aptos" w:eastAsia="Aptos" w:hAnsi="Aptos" w:cs="Aptos"/>
          <w:noProof/>
          <w:szCs w:val="24"/>
        </w:rPr>
        <w:t> </w:t>
      </w:r>
      <w:r w:rsidR="002D25F3" w:rsidRPr="421A18F4">
        <w:rPr>
          <w:noProof/>
        </w:rPr>
        <w:t>1</w:t>
      </w:r>
      <w:r w:rsidR="002D25F3">
        <w:rPr>
          <w:rFonts w:ascii="Aptos" w:eastAsia="Aptos" w:hAnsi="Aptos" w:cs="Aptos"/>
          <w:noProof/>
          <w:szCs w:val="24"/>
        </w:rPr>
        <w:t> </w:t>
      </w:r>
      <w:r w:rsidR="002D25F3" w:rsidRPr="421A18F4">
        <w:rPr>
          <w:noProof/>
        </w:rPr>
        <w:t>780</w:t>
      </w:r>
      <w:r w:rsidR="002D25F3">
        <w:rPr>
          <w:noProof/>
        </w:rPr>
        <w:t xml:space="preserve"> – EUR</w:t>
      </w:r>
      <w:r w:rsidR="002D25F3">
        <w:rPr>
          <w:rFonts w:ascii="Aptos" w:eastAsia="Aptos" w:hAnsi="Aptos" w:cs="Aptos"/>
          <w:noProof/>
          <w:szCs w:val="24"/>
        </w:rPr>
        <w:t> </w:t>
      </w:r>
      <w:r w:rsidR="002D25F3" w:rsidRPr="421A18F4">
        <w:rPr>
          <w:noProof/>
        </w:rPr>
        <w:t>2</w:t>
      </w:r>
      <w:r w:rsidR="002D25F3">
        <w:rPr>
          <w:rFonts w:ascii="Aptos" w:eastAsia="Aptos" w:hAnsi="Aptos" w:cs="Aptos"/>
          <w:noProof/>
          <w:szCs w:val="24"/>
        </w:rPr>
        <w:t> </w:t>
      </w:r>
      <w:r w:rsidR="002D25F3" w:rsidRPr="421A18F4">
        <w:rPr>
          <w:noProof/>
        </w:rPr>
        <w:t>850</w:t>
      </w:r>
      <w:r w:rsidR="002D25F3">
        <w:rPr>
          <w:noProof/>
        </w:rPr>
        <w:t xml:space="preserve"> </w:t>
      </w:r>
      <w:r w:rsidR="002D25F3" w:rsidRPr="421A18F4">
        <w:rPr>
          <w:noProof/>
        </w:rPr>
        <w:t xml:space="preserve">for a growth-stage secondary </w:t>
      </w:r>
      <w:r w:rsidR="002D25F3">
        <w:rPr>
          <w:noProof/>
        </w:rPr>
        <w:t xml:space="preserve">share transfer </w:t>
      </w:r>
      <w:r w:rsidR="002D25F3" w:rsidRPr="421A18F4">
        <w:rPr>
          <w:noProof/>
        </w:rPr>
        <w:t xml:space="preserve">transaction of </w:t>
      </w:r>
      <w:r w:rsidR="002D25F3">
        <w:rPr>
          <w:noProof/>
        </w:rPr>
        <w:t>EUR</w:t>
      </w:r>
      <w:r w:rsidR="002D25F3">
        <w:rPr>
          <w:rFonts w:ascii="Aptos" w:eastAsia="Aptos" w:hAnsi="Aptos" w:cs="Aptos"/>
          <w:noProof/>
          <w:szCs w:val="24"/>
        </w:rPr>
        <w:t> </w:t>
      </w:r>
      <w:r w:rsidR="002D25F3" w:rsidRPr="421A18F4">
        <w:rPr>
          <w:noProof/>
        </w:rPr>
        <w:t>500</w:t>
      </w:r>
      <w:r w:rsidR="002D25F3">
        <w:rPr>
          <w:rFonts w:ascii="Aptos" w:eastAsia="Aptos" w:hAnsi="Aptos" w:cs="Aptos"/>
          <w:noProof/>
          <w:szCs w:val="24"/>
        </w:rPr>
        <w:t> </w:t>
      </w:r>
      <w:r w:rsidR="002D25F3" w:rsidRPr="421A18F4">
        <w:rPr>
          <w:noProof/>
        </w:rPr>
        <w:t>000</w:t>
      </w:r>
      <w:r w:rsidR="002D25F3">
        <w:rPr>
          <w:noProof/>
        </w:rPr>
        <w:t xml:space="preserve">. Similarly, fully digital procedures </w:t>
      </w:r>
      <w:r w:rsidR="00391277">
        <w:rPr>
          <w:noProof/>
        </w:rPr>
        <w:t>for</w:t>
      </w:r>
      <w:r w:rsidR="002D25F3">
        <w:rPr>
          <w:noProof/>
        </w:rPr>
        <w:t xml:space="preserve"> capital </w:t>
      </w:r>
      <w:r w:rsidR="00391277">
        <w:rPr>
          <w:noProof/>
        </w:rPr>
        <w:t>increases</w:t>
      </w:r>
      <w:r w:rsidR="002D25F3">
        <w:rPr>
          <w:noProof/>
        </w:rPr>
        <w:t xml:space="preserve"> and share</w:t>
      </w:r>
      <w:r w:rsidR="00391277">
        <w:rPr>
          <w:noProof/>
        </w:rPr>
        <w:t xml:space="preserve"> issuances</w:t>
      </w:r>
      <w:r w:rsidR="0075102F">
        <w:rPr>
          <w:noProof/>
        </w:rPr>
        <w:t xml:space="preserve"> will also benefit </w:t>
      </w:r>
      <w:r w:rsidR="00A11E1B">
        <w:rPr>
          <w:noProof/>
        </w:rPr>
        <w:t>investors</w:t>
      </w:r>
      <w:r w:rsidR="00391277">
        <w:rPr>
          <w:noProof/>
        </w:rPr>
        <w:t>, who will be able to</w:t>
      </w:r>
      <w:r w:rsidR="00A11E1B">
        <w:rPr>
          <w:noProof/>
        </w:rPr>
        <w:t xml:space="preserve"> subscrib</w:t>
      </w:r>
      <w:r w:rsidR="00391277">
        <w:rPr>
          <w:noProof/>
        </w:rPr>
        <w:t>e</w:t>
      </w:r>
      <w:r w:rsidR="0005551E">
        <w:rPr>
          <w:noProof/>
        </w:rPr>
        <w:t xml:space="preserve"> new shares</w:t>
      </w:r>
      <w:r w:rsidR="00391277">
        <w:rPr>
          <w:noProof/>
        </w:rPr>
        <w:t xml:space="preserve"> without in</w:t>
      </w:r>
      <w:r w:rsidR="00391277" w:rsidRPr="005B7D77">
        <w:rPr>
          <w:noProof/>
          <w:lang w:val="en-IE"/>
        </w:rPr>
        <w:t>-person steps</w:t>
      </w:r>
      <w:r w:rsidR="002E0222" w:rsidRPr="005B7D77">
        <w:rPr>
          <w:noProof/>
          <w:lang w:val="en-IE"/>
        </w:rPr>
        <w:t xml:space="preserve">. </w:t>
      </w:r>
      <w:r w:rsidR="002E0222">
        <w:rPr>
          <w:noProof/>
        </w:rPr>
        <w:t>Where</w:t>
      </w:r>
      <w:r w:rsidR="002D25F3">
        <w:rPr>
          <w:noProof/>
        </w:rPr>
        <w:t xml:space="preserve"> Member States</w:t>
      </w:r>
      <w:r w:rsidR="002E0222">
        <w:rPr>
          <w:noProof/>
        </w:rPr>
        <w:t xml:space="preserve"> allow </w:t>
      </w:r>
      <w:r w:rsidR="00834C87">
        <w:rPr>
          <w:noProof/>
        </w:rPr>
        <w:t>28</w:t>
      </w:r>
      <w:r w:rsidR="00834C87" w:rsidRPr="00882DC2">
        <w:rPr>
          <w:noProof/>
          <w:vertAlign w:val="superscript"/>
        </w:rPr>
        <w:t>th</w:t>
      </w:r>
      <w:r w:rsidR="00834C87">
        <w:rPr>
          <w:noProof/>
        </w:rPr>
        <w:t xml:space="preserve"> regime companies </w:t>
      </w:r>
      <w:r w:rsidR="00FA60C8">
        <w:rPr>
          <w:noProof/>
        </w:rPr>
        <w:t>access to public equity markets</w:t>
      </w:r>
      <w:r w:rsidR="00A8209D">
        <w:rPr>
          <w:noProof/>
        </w:rPr>
        <w:t xml:space="preserve"> without legal conversion</w:t>
      </w:r>
      <w:r w:rsidR="00FA60C8">
        <w:rPr>
          <w:noProof/>
        </w:rPr>
        <w:t xml:space="preserve">, </w:t>
      </w:r>
      <w:r w:rsidR="00FA0F93">
        <w:rPr>
          <w:noProof/>
        </w:rPr>
        <w:t xml:space="preserve">investors would also profit from </w:t>
      </w:r>
      <w:r w:rsidR="001B2C43">
        <w:rPr>
          <w:noProof/>
        </w:rPr>
        <w:t>improved</w:t>
      </w:r>
      <w:r w:rsidR="00FA0F93">
        <w:rPr>
          <w:noProof/>
        </w:rPr>
        <w:t xml:space="preserve"> exit </w:t>
      </w:r>
      <w:r w:rsidR="00DF5351">
        <w:rPr>
          <w:noProof/>
        </w:rPr>
        <w:t>opportunities</w:t>
      </w:r>
      <w:r w:rsidR="002D25F3" w:rsidRPr="0DBAD9C3">
        <w:rPr>
          <w:rFonts w:cstheme="minorBidi"/>
          <w:noProof/>
        </w:rPr>
        <w:t>.</w:t>
      </w:r>
      <w:r w:rsidR="001B2C43">
        <w:rPr>
          <w:rFonts w:cstheme="minorBidi"/>
          <w:noProof/>
        </w:rPr>
        <w:t xml:space="preserve"> </w:t>
      </w:r>
      <w:r w:rsidR="003120A7">
        <w:rPr>
          <w:rFonts w:cstheme="minorBidi"/>
          <w:noProof/>
        </w:rPr>
        <w:t>E</w:t>
      </w:r>
      <w:r w:rsidR="00B72045">
        <w:rPr>
          <w:rFonts w:cstheme="minorBidi"/>
          <w:noProof/>
        </w:rPr>
        <w:t>mployees investing in</w:t>
      </w:r>
      <w:r w:rsidR="002D25F3">
        <w:rPr>
          <w:rFonts w:cstheme="minorBidi"/>
          <w:noProof/>
        </w:rPr>
        <w:t xml:space="preserve"> </w:t>
      </w:r>
      <w:r w:rsidR="002D25F3" w:rsidRPr="0DBAD9C3">
        <w:rPr>
          <w:rFonts w:cstheme="minorBidi"/>
          <w:noProof/>
        </w:rPr>
        <w:t>28</w:t>
      </w:r>
      <w:r w:rsidR="002D25F3" w:rsidRPr="00764BCA">
        <w:rPr>
          <w:rFonts w:cstheme="minorBidi"/>
          <w:noProof/>
          <w:vertAlign w:val="superscript"/>
        </w:rPr>
        <w:t>th</w:t>
      </w:r>
      <w:r w:rsidR="002D25F3" w:rsidRPr="0DBAD9C3">
        <w:rPr>
          <w:rFonts w:cstheme="minorBidi"/>
          <w:noProof/>
        </w:rPr>
        <w:t xml:space="preserve"> regime companies </w:t>
      </w:r>
      <w:r w:rsidR="00024158">
        <w:rPr>
          <w:rFonts w:cstheme="minorBidi"/>
          <w:noProof/>
        </w:rPr>
        <w:t xml:space="preserve">through </w:t>
      </w:r>
      <w:r w:rsidR="00463606">
        <w:rPr>
          <w:rFonts w:cstheme="minorBidi"/>
          <w:noProof/>
        </w:rPr>
        <w:t>the EU-ESO</w:t>
      </w:r>
      <w:r w:rsidR="002D25F3" w:rsidRPr="0DBAD9C3">
        <w:rPr>
          <w:rFonts w:cstheme="minorBidi"/>
          <w:noProof/>
        </w:rPr>
        <w:t xml:space="preserve"> </w:t>
      </w:r>
      <w:r w:rsidR="007D092A">
        <w:rPr>
          <w:rFonts w:cstheme="minorBidi"/>
          <w:noProof/>
        </w:rPr>
        <w:t xml:space="preserve">would </w:t>
      </w:r>
      <w:r w:rsidR="003120A7">
        <w:rPr>
          <w:rFonts w:cstheme="minorBidi"/>
          <w:noProof/>
        </w:rPr>
        <w:t>additionally</w:t>
      </w:r>
      <w:r w:rsidR="007D092A">
        <w:rPr>
          <w:rFonts w:cstheme="minorBidi"/>
          <w:noProof/>
        </w:rPr>
        <w:t xml:space="preserve"> benefit from </w:t>
      </w:r>
      <w:r w:rsidR="008E0C45">
        <w:rPr>
          <w:rFonts w:cstheme="minorBidi"/>
          <w:noProof/>
        </w:rPr>
        <w:t xml:space="preserve">a </w:t>
      </w:r>
      <w:r w:rsidR="00897D0A">
        <w:rPr>
          <w:rFonts w:cstheme="minorBidi"/>
          <w:noProof/>
        </w:rPr>
        <w:t>simple, stock</w:t>
      </w:r>
      <w:r w:rsidR="00077D16">
        <w:rPr>
          <w:rFonts w:cstheme="minorBidi"/>
          <w:noProof/>
        </w:rPr>
        <w:t>-</w:t>
      </w:r>
      <w:r w:rsidR="00F95BC7">
        <w:rPr>
          <w:rFonts w:cstheme="minorBidi"/>
          <w:noProof/>
        </w:rPr>
        <w:t>option based scheme for financial participation in their companies and from a</w:t>
      </w:r>
      <w:r w:rsidR="008E0C45">
        <w:rPr>
          <w:rFonts w:cstheme="minorBidi"/>
          <w:noProof/>
        </w:rPr>
        <w:t xml:space="preserve"> favourable</w:t>
      </w:r>
      <w:r w:rsidR="0061089A">
        <w:rPr>
          <w:rFonts w:cstheme="minorBidi"/>
          <w:noProof/>
        </w:rPr>
        <w:t xml:space="preserve"> </w:t>
      </w:r>
      <w:r w:rsidR="00E64422">
        <w:rPr>
          <w:rFonts w:cstheme="minorBidi"/>
          <w:noProof/>
        </w:rPr>
        <w:t>timing of tax</w:t>
      </w:r>
      <w:r w:rsidR="00CA540D">
        <w:rPr>
          <w:rFonts w:cstheme="minorBidi"/>
          <w:noProof/>
        </w:rPr>
        <w:t xml:space="preserve">ation that avoids dry tax charges on </w:t>
      </w:r>
      <w:r w:rsidR="00F95BC7">
        <w:rPr>
          <w:rFonts w:cstheme="minorBidi"/>
          <w:noProof/>
        </w:rPr>
        <w:t>their</w:t>
      </w:r>
      <w:r w:rsidR="00CA540D">
        <w:rPr>
          <w:rFonts w:cstheme="minorBidi"/>
          <w:noProof/>
        </w:rPr>
        <w:t xml:space="preserve"> employee stock options </w:t>
      </w:r>
      <w:r w:rsidR="00F95BC7">
        <w:rPr>
          <w:rFonts w:cstheme="minorBidi"/>
          <w:noProof/>
        </w:rPr>
        <w:t>throughout the EU.</w:t>
      </w:r>
      <w:r w:rsidR="00CA540D">
        <w:rPr>
          <w:rFonts w:cstheme="minorBidi"/>
          <w:noProof/>
        </w:rPr>
        <w:t xml:space="preserve"> </w:t>
      </w:r>
      <w:r w:rsidR="0061089A">
        <w:rPr>
          <w:rFonts w:cstheme="minorBidi"/>
          <w:noProof/>
        </w:rPr>
        <w:t xml:space="preserve"> </w:t>
      </w:r>
      <w:r w:rsidR="002D25F3" w:rsidRPr="0DBAD9C3">
        <w:rPr>
          <w:rFonts w:cstheme="minorBidi"/>
          <w:noProof/>
        </w:rPr>
        <w:t xml:space="preserve"> </w:t>
      </w:r>
    </w:p>
    <w:p w14:paraId="56D56611" w14:textId="1034DC81" w:rsidR="00D83E35" w:rsidRDefault="00D2091B" w:rsidP="00D2091B">
      <w:pPr>
        <w:spacing w:after="120"/>
        <w:rPr>
          <w:noProof/>
          <w:szCs w:val="20"/>
        </w:rPr>
      </w:pPr>
      <w:r w:rsidRPr="00615539">
        <w:rPr>
          <w:b/>
          <w:bCs/>
          <w:noProof/>
        </w:rPr>
        <w:t>Public authorities</w:t>
      </w:r>
      <w:r>
        <w:rPr>
          <w:b/>
          <w:bCs/>
          <w:noProof/>
        </w:rPr>
        <w:t>, including business registers</w:t>
      </w:r>
      <w:r w:rsidRPr="00615539">
        <w:rPr>
          <w:b/>
          <w:bCs/>
          <w:noProof/>
        </w:rPr>
        <w:t xml:space="preserve"> </w:t>
      </w:r>
      <w:r w:rsidRPr="00615539">
        <w:rPr>
          <w:noProof/>
        </w:rPr>
        <w:t xml:space="preserve">are expected </w:t>
      </w:r>
      <w:r>
        <w:rPr>
          <w:noProof/>
        </w:rPr>
        <w:t xml:space="preserve">to benefit from some </w:t>
      </w:r>
      <w:r w:rsidRPr="00C676DB">
        <w:rPr>
          <w:noProof/>
        </w:rPr>
        <w:t>efficiency gains</w:t>
      </w:r>
      <w:r>
        <w:rPr>
          <w:noProof/>
        </w:rPr>
        <w:t xml:space="preserve">, stemming from digitalisation of the procedures and the “once-only” transmission of company information, and therefore, savings in terms </w:t>
      </w:r>
      <w:r w:rsidR="00252B73">
        <w:rPr>
          <w:noProof/>
        </w:rPr>
        <w:t xml:space="preserve">of </w:t>
      </w:r>
      <w:r>
        <w:rPr>
          <w:noProof/>
        </w:rPr>
        <w:t>time and handling of company information and less</w:t>
      </w:r>
      <w:r w:rsidRPr="00C676DB" w:rsidDel="001B532A">
        <w:rPr>
          <w:noProof/>
        </w:rPr>
        <w:t xml:space="preserve"> </w:t>
      </w:r>
      <w:r w:rsidRPr="00C676DB">
        <w:rPr>
          <w:noProof/>
        </w:rPr>
        <w:t>paper-based documentation</w:t>
      </w:r>
      <w:r>
        <w:rPr>
          <w:noProof/>
        </w:rPr>
        <w:t>.</w:t>
      </w:r>
      <w:r w:rsidR="00402BEE">
        <w:rPr>
          <w:noProof/>
        </w:rPr>
        <w:t xml:space="preserve"> </w:t>
      </w:r>
      <w:r>
        <w:rPr>
          <w:noProof/>
        </w:rPr>
        <w:t>B</w:t>
      </w:r>
      <w:r>
        <w:rPr>
          <w:noProof/>
          <w:szCs w:val="20"/>
        </w:rPr>
        <w:t xml:space="preserve">eing able to rely on common rules, a recognisable brand and harmonised </w:t>
      </w:r>
      <w:r w:rsidRPr="002F072B">
        <w:rPr>
          <w:rFonts w:eastAsia="Courier New"/>
          <w:noProof/>
        </w:rPr>
        <w:t>bilingual templates</w:t>
      </w:r>
      <w:r>
        <w:rPr>
          <w:noProof/>
          <w:szCs w:val="20"/>
        </w:rPr>
        <w:t xml:space="preserve"> might also increase the transparency and trust for public authorities, in particular when dealing with 28</w:t>
      </w:r>
      <w:r w:rsidRPr="00A47510">
        <w:rPr>
          <w:noProof/>
          <w:szCs w:val="20"/>
          <w:vertAlign w:val="superscript"/>
        </w:rPr>
        <w:t>th</w:t>
      </w:r>
      <w:r>
        <w:rPr>
          <w:noProof/>
          <w:szCs w:val="20"/>
        </w:rPr>
        <w:t xml:space="preserve"> regime companies coming from other Member States. </w:t>
      </w:r>
      <w:r w:rsidR="00402BEE">
        <w:rPr>
          <w:noProof/>
        </w:rPr>
        <w:t xml:space="preserve">Some reduction of administrative inefficiencies linked to </w:t>
      </w:r>
      <w:r w:rsidR="00402BEE" w:rsidRPr="00456151">
        <w:rPr>
          <w:noProof/>
        </w:rPr>
        <w:t>inactive and dormant companies in national registers</w:t>
      </w:r>
      <w:r w:rsidR="00402BEE">
        <w:rPr>
          <w:noProof/>
        </w:rPr>
        <w:t xml:space="preserve"> could be expected thanks to more efficient company closure procedures.</w:t>
      </w:r>
    </w:p>
    <w:p w14:paraId="0D6A7D70" w14:textId="14746E99" w:rsidR="00D2091B" w:rsidRDefault="00D2091B" w:rsidP="00D2091B">
      <w:pPr>
        <w:spacing w:after="120"/>
        <w:rPr>
          <w:noProof/>
        </w:rPr>
      </w:pPr>
      <w:r>
        <w:rPr>
          <w:noProof/>
          <w:szCs w:val="20"/>
        </w:rPr>
        <w:t xml:space="preserve">As regards costs, the package is expected to result in one-off IT costs for business registers to adapt to the EU </w:t>
      </w:r>
      <w:r w:rsidRPr="00595358">
        <w:rPr>
          <w:rFonts w:eastAsia="Times New Roman"/>
          <w:noProof/>
          <w:szCs w:val="20"/>
        </w:rPr>
        <w:t>single interface</w:t>
      </w:r>
      <w:r>
        <w:rPr>
          <w:rFonts w:eastAsia="Times New Roman"/>
          <w:noProof/>
          <w:szCs w:val="20"/>
        </w:rPr>
        <w:t xml:space="preserve"> for registration of 28</w:t>
      </w:r>
      <w:r w:rsidRPr="00060173">
        <w:rPr>
          <w:rFonts w:eastAsia="Times New Roman"/>
          <w:noProof/>
          <w:szCs w:val="20"/>
          <w:vertAlign w:val="superscript"/>
        </w:rPr>
        <w:t>th</w:t>
      </w:r>
      <w:r>
        <w:rPr>
          <w:rFonts w:eastAsia="Times New Roman"/>
          <w:noProof/>
          <w:szCs w:val="20"/>
        </w:rPr>
        <w:t xml:space="preserve"> regime companies estimated at </w:t>
      </w:r>
      <w:r>
        <w:rPr>
          <w:noProof/>
        </w:rPr>
        <w:t>EUR</w:t>
      </w:r>
      <w:r w:rsidRPr="5C615C42">
        <w:rPr>
          <w:rFonts w:ascii="Aptos" w:eastAsia="Aptos" w:hAnsi="Aptos" w:cs="Aptos"/>
          <w:noProof/>
        </w:rPr>
        <w:t xml:space="preserve"> </w:t>
      </w:r>
      <w:r w:rsidRPr="5CBCE07D">
        <w:rPr>
          <w:noProof/>
        </w:rPr>
        <w:t>2.7 million</w:t>
      </w:r>
      <w:r>
        <w:rPr>
          <w:noProof/>
        </w:rPr>
        <w:t xml:space="preserve"> for all Member States. In some Member States there will be also some IT costs to connect authorities, other than business registers, in charge of preventive control </w:t>
      </w:r>
      <w:r>
        <w:rPr>
          <w:noProof/>
          <w:szCs w:val="20"/>
        </w:rPr>
        <w:t xml:space="preserve">to the business registers, </w:t>
      </w:r>
      <w:r>
        <w:rPr>
          <w:noProof/>
        </w:rPr>
        <w:t>e</w:t>
      </w:r>
      <w:r w:rsidRPr="5CBCE07D">
        <w:rPr>
          <w:noProof/>
        </w:rPr>
        <w:t xml:space="preserve">stimated at </w:t>
      </w:r>
      <w:r>
        <w:rPr>
          <w:noProof/>
        </w:rPr>
        <w:t>EUR 5</w:t>
      </w:r>
      <w:r w:rsidRPr="5CBCE07D">
        <w:rPr>
          <w:noProof/>
        </w:rPr>
        <w:t>0</w:t>
      </w:r>
      <w:r>
        <w:rPr>
          <w:noProof/>
        </w:rPr>
        <w:t> </w:t>
      </w:r>
      <w:r w:rsidRPr="5CBCE07D">
        <w:rPr>
          <w:noProof/>
        </w:rPr>
        <w:t>000 per Member State</w:t>
      </w:r>
      <w:r>
        <w:rPr>
          <w:noProof/>
        </w:rPr>
        <w:t xml:space="preserve">. </w:t>
      </w:r>
      <w:r w:rsidR="00C447BF">
        <w:rPr>
          <w:noProof/>
        </w:rPr>
        <w:t>The need</w:t>
      </w:r>
      <w:r>
        <w:rPr>
          <w:noProof/>
        </w:rPr>
        <w:t xml:space="preserve"> to </w:t>
      </w:r>
      <w:r w:rsidR="003411F6">
        <w:rPr>
          <w:noProof/>
        </w:rPr>
        <w:t>provide</w:t>
      </w:r>
      <w:r>
        <w:rPr>
          <w:bCs/>
          <w:noProof/>
          <w:szCs w:val="20"/>
        </w:rPr>
        <w:t xml:space="preserve"> a technical solution for the automatic transmission of the company information</w:t>
      </w:r>
      <w:r>
        <w:rPr>
          <w:noProof/>
        </w:rPr>
        <w:t xml:space="preserve"> or </w:t>
      </w:r>
      <w:r w:rsidR="003411F6">
        <w:rPr>
          <w:noProof/>
        </w:rPr>
        <w:t xml:space="preserve">to ensure </w:t>
      </w:r>
      <w:r w:rsidRPr="00516F05">
        <w:rPr>
          <w:noProof/>
          <w:szCs w:val="20"/>
        </w:rPr>
        <w:t>infrastructures</w:t>
      </w:r>
      <w:r>
        <w:rPr>
          <w:noProof/>
          <w:szCs w:val="20"/>
        </w:rPr>
        <w:t xml:space="preserve"> to </w:t>
      </w:r>
      <w:r w:rsidRPr="00516F05">
        <w:rPr>
          <w:noProof/>
          <w:szCs w:val="20"/>
        </w:rPr>
        <w:t xml:space="preserve">support </w:t>
      </w:r>
      <w:r>
        <w:rPr>
          <w:noProof/>
          <w:szCs w:val="20"/>
        </w:rPr>
        <w:t xml:space="preserve">other </w:t>
      </w:r>
      <w:r w:rsidRPr="00516F05">
        <w:rPr>
          <w:noProof/>
          <w:szCs w:val="20"/>
        </w:rPr>
        <w:t>digital procedures</w:t>
      </w:r>
      <w:r>
        <w:rPr>
          <w:noProof/>
          <w:szCs w:val="20"/>
        </w:rPr>
        <w:t xml:space="preserve"> </w:t>
      </w:r>
      <w:r w:rsidR="003411F6">
        <w:rPr>
          <w:noProof/>
          <w:szCs w:val="20"/>
        </w:rPr>
        <w:t xml:space="preserve">are also expected to result in </w:t>
      </w:r>
      <w:r w:rsidR="003411F6">
        <w:rPr>
          <w:noProof/>
        </w:rPr>
        <w:t>one-off IT costs,</w:t>
      </w:r>
      <w:r>
        <w:rPr>
          <w:noProof/>
          <w:szCs w:val="20"/>
        </w:rPr>
        <w:t xml:space="preserve"> but these are</w:t>
      </w:r>
      <w:r>
        <w:rPr>
          <w:noProof/>
        </w:rPr>
        <w:t xml:space="preserve"> expected to be limited due to ongoing digital developments. In the context of insolvency proceedings, some costs could be expected for development and maintenance of platforms for electronic auctions systems estimated to amount to between EUR</w:t>
      </w:r>
      <w:r w:rsidR="001B4794">
        <w:rPr>
          <w:rFonts w:ascii="Aptos" w:eastAsia="Aptos" w:hAnsi="Aptos" w:cs="Aptos"/>
          <w:noProof/>
        </w:rPr>
        <w:t> </w:t>
      </w:r>
      <w:r>
        <w:rPr>
          <w:noProof/>
        </w:rPr>
        <w:t>185</w:t>
      </w:r>
      <w:r w:rsidR="001B4794">
        <w:rPr>
          <w:rFonts w:ascii="Aptos" w:eastAsia="Aptos" w:hAnsi="Aptos" w:cs="Aptos"/>
          <w:noProof/>
        </w:rPr>
        <w:t> </w:t>
      </w:r>
      <w:r>
        <w:rPr>
          <w:noProof/>
        </w:rPr>
        <w:t>000 to</w:t>
      </w:r>
      <w:r w:rsidRPr="476B1757">
        <w:rPr>
          <w:rFonts w:ascii="Aptos" w:eastAsia="Aptos" w:hAnsi="Aptos" w:cs="Aptos"/>
          <w:noProof/>
        </w:rPr>
        <w:t xml:space="preserve"> </w:t>
      </w:r>
      <w:r w:rsidR="001B4794" w:rsidRPr="00D00882">
        <w:rPr>
          <w:rFonts w:eastAsia="Aptos"/>
          <w:noProof/>
        </w:rPr>
        <w:t>EUR</w:t>
      </w:r>
      <w:r w:rsidR="00D00882" w:rsidRPr="00D00882">
        <w:rPr>
          <w:rFonts w:eastAsia="Aptos"/>
          <w:noProof/>
        </w:rPr>
        <w:t> </w:t>
      </w:r>
      <w:r>
        <w:rPr>
          <w:noProof/>
        </w:rPr>
        <w:t>370</w:t>
      </w:r>
      <w:r w:rsidR="00D00882" w:rsidRPr="00D00882">
        <w:rPr>
          <w:rFonts w:eastAsia="Aptos"/>
          <w:noProof/>
        </w:rPr>
        <w:t> </w:t>
      </w:r>
      <w:r>
        <w:rPr>
          <w:noProof/>
        </w:rPr>
        <w:t>000 for development, and to EUR</w:t>
      </w:r>
      <w:r w:rsidR="00D00882">
        <w:rPr>
          <w:rFonts w:ascii="Aptos" w:eastAsia="Aptos" w:hAnsi="Aptos" w:cs="Aptos"/>
          <w:noProof/>
        </w:rPr>
        <w:t> </w:t>
      </w:r>
      <w:r>
        <w:rPr>
          <w:noProof/>
        </w:rPr>
        <w:t>324</w:t>
      </w:r>
      <w:r w:rsidR="00D00882">
        <w:rPr>
          <w:rFonts w:ascii="Aptos" w:eastAsia="Aptos" w:hAnsi="Aptos" w:cs="Aptos"/>
          <w:noProof/>
        </w:rPr>
        <w:t> </w:t>
      </w:r>
      <w:r>
        <w:rPr>
          <w:noProof/>
        </w:rPr>
        <w:t xml:space="preserve">000 for maintenance in all Member States. </w:t>
      </w:r>
      <w:r w:rsidR="00E22BD7">
        <w:rPr>
          <w:noProof/>
        </w:rPr>
        <w:t>T</w:t>
      </w:r>
      <w:r w:rsidR="00E22BD7" w:rsidRPr="00E22BD7">
        <w:rPr>
          <w:noProof/>
        </w:rPr>
        <w:t>he cost ceiling of EUR</w:t>
      </w:r>
      <w:r w:rsidR="001B4794">
        <w:rPr>
          <w:noProof/>
        </w:rPr>
        <w:t> </w:t>
      </w:r>
      <w:r w:rsidR="00E22BD7" w:rsidRPr="00E22BD7">
        <w:rPr>
          <w:noProof/>
        </w:rPr>
        <w:t xml:space="preserve">100 to complete the registration </w:t>
      </w:r>
      <w:r w:rsidR="00E22BD7">
        <w:rPr>
          <w:noProof/>
        </w:rPr>
        <w:t>(with</w:t>
      </w:r>
      <w:r w:rsidR="00E22BD7" w:rsidRPr="00E22BD7">
        <w:rPr>
          <w:noProof/>
        </w:rPr>
        <w:t xml:space="preserve"> a standardised template</w:t>
      </w:r>
      <w:r w:rsidR="00E22BD7">
        <w:rPr>
          <w:noProof/>
        </w:rPr>
        <w:t>)</w:t>
      </w:r>
      <w:r w:rsidR="00E22BD7" w:rsidRPr="00E22BD7">
        <w:rPr>
          <w:noProof/>
        </w:rPr>
        <w:t xml:space="preserve"> would entail reduced revenue for business registers and other authorities involved in the registration, including preventive control. </w:t>
      </w:r>
      <w:r w:rsidR="003F1C5B">
        <w:rPr>
          <w:noProof/>
        </w:rPr>
        <w:t xml:space="preserve">It is expected that this will be at least partially offset </w:t>
      </w:r>
      <w:r w:rsidR="008842FF">
        <w:rPr>
          <w:noProof/>
        </w:rPr>
        <w:t xml:space="preserve">by increased economic activity </w:t>
      </w:r>
      <w:r w:rsidR="000130A5">
        <w:rPr>
          <w:noProof/>
        </w:rPr>
        <w:t>and tax contributions from new companies created under</w:t>
      </w:r>
      <w:r w:rsidR="008842FF">
        <w:rPr>
          <w:noProof/>
        </w:rPr>
        <w:t xml:space="preserve"> the</w:t>
      </w:r>
      <w:r w:rsidR="003F1C5B">
        <w:rPr>
          <w:noProof/>
        </w:rPr>
        <w:t xml:space="preserve"> </w:t>
      </w:r>
      <w:r w:rsidR="000130A5">
        <w:rPr>
          <w:noProof/>
        </w:rPr>
        <w:t>28</w:t>
      </w:r>
      <w:r w:rsidR="000130A5" w:rsidRPr="00834757">
        <w:rPr>
          <w:noProof/>
          <w:vertAlign w:val="superscript"/>
        </w:rPr>
        <w:t>th</w:t>
      </w:r>
      <w:r w:rsidR="000130A5">
        <w:rPr>
          <w:noProof/>
        </w:rPr>
        <w:t xml:space="preserve"> regime legal form.</w:t>
      </w:r>
      <w:r w:rsidR="00E22BD7" w:rsidRPr="00E22BD7">
        <w:rPr>
          <w:noProof/>
        </w:rPr>
        <w:t xml:space="preserve"> </w:t>
      </w:r>
      <w:r>
        <w:rPr>
          <w:noProof/>
        </w:rPr>
        <w:t>T</w:t>
      </w:r>
      <w:r w:rsidRPr="00AC3D6A">
        <w:rPr>
          <w:noProof/>
        </w:rPr>
        <w:t>he tax deferral in the context of the common EU-ESO</w:t>
      </w:r>
      <w:r>
        <w:rPr>
          <w:noProof/>
        </w:rPr>
        <w:t xml:space="preserve"> schemes would result in </w:t>
      </w:r>
      <w:r w:rsidRPr="00AC3D6A">
        <w:rPr>
          <w:noProof/>
        </w:rPr>
        <w:t>negative liquidity effects for tax authorities</w:t>
      </w:r>
      <w:r>
        <w:rPr>
          <w:noProof/>
        </w:rPr>
        <w:t>, however the</w:t>
      </w:r>
      <w:r w:rsidRPr="00AC3D6A">
        <w:rPr>
          <w:noProof/>
        </w:rPr>
        <w:t xml:space="preserve"> effect is expected to be moderate</w:t>
      </w:r>
      <w:r w:rsidRPr="00EE7B7E">
        <w:rPr>
          <w:noProof/>
        </w:rPr>
        <w:t>,</w:t>
      </w:r>
      <w:r>
        <w:rPr>
          <w:noProof/>
        </w:rPr>
        <w:t xml:space="preserve"> especially when compared with the total amount of Member States’ tax </w:t>
      </w:r>
      <w:r w:rsidR="000C04C4">
        <w:rPr>
          <w:noProof/>
        </w:rPr>
        <w:t>revenues and</w:t>
      </w:r>
      <w:r>
        <w:rPr>
          <w:noProof/>
        </w:rPr>
        <w:t xml:space="preserve"> only affect Member States which do not </w:t>
      </w:r>
      <w:r w:rsidRPr="00AC3D6A">
        <w:rPr>
          <w:noProof/>
        </w:rPr>
        <w:t>already offer similar schemes</w:t>
      </w:r>
      <w:r>
        <w:rPr>
          <w:noProof/>
        </w:rPr>
        <w:t>.</w:t>
      </w:r>
    </w:p>
    <w:p w14:paraId="7135B878" w14:textId="3C54DB92" w:rsidR="00DC4EAC" w:rsidRDefault="0076610F" w:rsidP="0076610F">
      <w:pPr>
        <w:spacing w:after="120"/>
        <w:rPr>
          <w:noProof/>
          <w:szCs w:val="20"/>
        </w:rPr>
      </w:pPr>
      <w:r w:rsidRPr="00834757">
        <w:rPr>
          <w:b/>
          <w:noProof/>
          <w:szCs w:val="20"/>
        </w:rPr>
        <w:t>Intermediaries</w:t>
      </w:r>
      <w:r w:rsidR="00B90E45">
        <w:rPr>
          <w:b/>
          <w:noProof/>
          <w:szCs w:val="20"/>
        </w:rPr>
        <w:t xml:space="preserve"> </w:t>
      </w:r>
      <w:r>
        <w:rPr>
          <w:noProof/>
          <w:szCs w:val="20"/>
        </w:rPr>
        <w:t xml:space="preserve">such as </w:t>
      </w:r>
      <w:r w:rsidR="00B90E45">
        <w:rPr>
          <w:noProof/>
          <w:szCs w:val="20"/>
        </w:rPr>
        <w:t>notaries</w:t>
      </w:r>
      <w:r>
        <w:rPr>
          <w:noProof/>
          <w:szCs w:val="20"/>
        </w:rPr>
        <w:t xml:space="preserve">, are often involved in corporate procedures throughout the company’s lifecycle, e.g. registration of companies including preventive control, procedures related to capital and shares, amendments to company documents such as </w:t>
      </w:r>
      <w:r w:rsidR="00305024">
        <w:rPr>
          <w:noProof/>
          <w:szCs w:val="20"/>
        </w:rPr>
        <w:t>the</w:t>
      </w:r>
      <w:r>
        <w:rPr>
          <w:noProof/>
          <w:szCs w:val="20"/>
        </w:rPr>
        <w:t xml:space="preserve"> articles of association, but th</w:t>
      </w:r>
      <w:r w:rsidR="00305024">
        <w:rPr>
          <w:noProof/>
          <w:szCs w:val="20"/>
        </w:rPr>
        <w:t>eir</w:t>
      </w:r>
      <w:r>
        <w:rPr>
          <w:noProof/>
          <w:szCs w:val="20"/>
        </w:rPr>
        <w:t xml:space="preserve"> involvement varies across Member States. </w:t>
      </w:r>
      <w:r w:rsidR="00120113">
        <w:rPr>
          <w:noProof/>
          <w:szCs w:val="20"/>
        </w:rPr>
        <w:t>Such i</w:t>
      </w:r>
      <w:r>
        <w:rPr>
          <w:noProof/>
          <w:szCs w:val="20"/>
        </w:rPr>
        <w:t xml:space="preserve">ntermediaries would benefit from this initiative in terms of increased legal certainty from the harmonised corporate framework with an EU brand across the EU and increased efficiency thanks to more efficient and digitalised procedures. As regards costs, overall, there </w:t>
      </w:r>
      <w:r w:rsidR="00DD3846">
        <w:rPr>
          <w:noProof/>
          <w:szCs w:val="20"/>
        </w:rPr>
        <w:t>might</w:t>
      </w:r>
      <w:r>
        <w:rPr>
          <w:noProof/>
          <w:szCs w:val="20"/>
        </w:rPr>
        <w:t xml:space="preserve"> be some </w:t>
      </w:r>
      <w:r w:rsidRPr="006C690B">
        <w:rPr>
          <w:noProof/>
          <w:szCs w:val="20"/>
        </w:rPr>
        <w:t>one-off adjustment costs</w:t>
      </w:r>
      <w:r>
        <w:rPr>
          <w:noProof/>
          <w:szCs w:val="20"/>
        </w:rPr>
        <w:t xml:space="preserve"> to </w:t>
      </w:r>
      <w:r w:rsidRPr="006C690B">
        <w:rPr>
          <w:noProof/>
          <w:szCs w:val="20"/>
        </w:rPr>
        <w:t xml:space="preserve">adapt </w:t>
      </w:r>
      <w:r>
        <w:rPr>
          <w:noProof/>
          <w:szCs w:val="20"/>
        </w:rPr>
        <w:t xml:space="preserve">intermediaries’ </w:t>
      </w:r>
      <w:r w:rsidRPr="006C690B">
        <w:rPr>
          <w:noProof/>
          <w:szCs w:val="20"/>
        </w:rPr>
        <w:t>existing workflows</w:t>
      </w:r>
      <w:r>
        <w:rPr>
          <w:noProof/>
          <w:szCs w:val="20"/>
        </w:rPr>
        <w:t xml:space="preserve"> and IT tools to digitalised and simplified procedures for 28</w:t>
      </w:r>
      <w:r w:rsidRPr="003B5CDF">
        <w:rPr>
          <w:noProof/>
          <w:szCs w:val="20"/>
          <w:vertAlign w:val="superscript"/>
        </w:rPr>
        <w:t>th</w:t>
      </w:r>
      <w:r>
        <w:rPr>
          <w:noProof/>
          <w:szCs w:val="20"/>
        </w:rPr>
        <w:t xml:space="preserve"> regime companies, including their registration, </w:t>
      </w:r>
      <w:r w:rsidRPr="006C690B">
        <w:rPr>
          <w:noProof/>
          <w:szCs w:val="20"/>
        </w:rPr>
        <w:t>digital governance</w:t>
      </w:r>
      <w:r>
        <w:rPr>
          <w:noProof/>
          <w:szCs w:val="20"/>
        </w:rPr>
        <w:t xml:space="preserve"> including</w:t>
      </w:r>
      <w:r w:rsidRPr="006C690B">
        <w:rPr>
          <w:noProof/>
          <w:szCs w:val="20"/>
        </w:rPr>
        <w:t xml:space="preserve"> </w:t>
      </w:r>
      <w:r>
        <w:rPr>
          <w:noProof/>
          <w:szCs w:val="20"/>
        </w:rPr>
        <w:t xml:space="preserve">possible </w:t>
      </w:r>
      <w:r w:rsidRPr="006C690B">
        <w:rPr>
          <w:noProof/>
          <w:szCs w:val="20"/>
        </w:rPr>
        <w:t xml:space="preserve">online meetings </w:t>
      </w:r>
      <w:r>
        <w:rPr>
          <w:noProof/>
          <w:szCs w:val="20"/>
        </w:rPr>
        <w:t>of corporate bodies</w:t>
      </w:r>
      <w:r w:rsidRPr="006C690B">
        <w:rPr>
          <w:noProof/>
          <w:szCs w:val="20"/>
        </w:rPr>
        <w:t xml:space="preserve"> and simplified digital procedures for capital increases</w:t>
      </w:r>
      <w:r>
        <w:rPr>
          <w:noProof/>
          <w:szCs w:val="20"/>
        </w:rPr>
        <w:t xml:space="preserve"> and</w:t>
      </w:r>
      <w:r w:rsidRPr="006C690B">
        <w:rPr>
          <w:noProof/>
          <w:szCs w:val="20"/>
        </w:rPr>
        <w:t xml:space="preserve"> share issuance</w:t>
      </w:r>
      <w:r>
        <w:rPr>
          <w:noProof/>
          <w:szCs w:val="20"/>
        </w:rPr>
        <w:t xml:space="preserve">. As regards registration, similarly as for public authorities, the </w:t>
      </w:r>
      <w:r w:rsidRPr="00E22BD7">
        <w:rPr>
          <w:noProof/>
        </w:rPr>
        <w:t xml:space="preserve">cost ceiling of EUR 100 would entail reduced revenue </w:t>
      </w:r>
      <w:r>
        <w:rPr>
          <w:noProof/>
        </w:rPr>
        <w:t xml:space="preserve">also for </w:t>
      </w:r>
      <w:r w:rsidR="003E1121">
        <w:rPr>
          <w:noProof/>
        </w:rPr>
        <w:t>intermediaries</w:t>
      </w:r>
      <w:r w:rsidR="00C662B4">
        <w:rPr>
          <w:noProof/>
        </w:rPr>
        <w:t xml:space="preserve">, and </w:t>
      </w:r>
      <w:r w:rsidR="004D6FD0">
        <w:rPr>
          <w:noProof/>
        </w:rPr>
        <w:t>in particular notaries,</w:t>
      </w:r>
      <w:r>
        <w:rPr>
          <w:noProof/>
        </w:rPr>
        <w:t xml:space="preserve"> in Member States where they are involved in those procedures. </w:t>
      </w:r>
      <w:r>
        <w:rPr>
          <w:noProof/>
          <w:szCs w:val="20"/>
        </w:rPr>
        <w:t>T</w:t>
      </w:r>
      <w:r w:rsidRPr="008F1AB2">
        <w:rPr>
          <w:noProof/>
          <w:szCs w:val="20"/>
        </w:rPr>
        <w:t xml:space="preserve">he removal of mandatory intermediary involvement </w:t>
      </w:r>
      <w:r>
        <w:rPr>
          <w:noProof/>
          <w:szCs w:val="20"/>
        </w:rPr>
        <w:t>for share transfers</w:t>
      </w:r>
      <w:r w:rsidRPr="008F1AB2">
        <w:rPr>
          <w:noProof/>
          <w:szCs w:val="20"/>
        </w:rPr>
        <w:t xml:space="preserve"> </w:t>
      </w:r>
      <w:r>
        <w:rPr>
          <w:noProof/>
          <w:szCs w:val="20"/>
        </w:rPr>
        <w:t xml:space="preserve">would lead to revenue losses for intermediaries, including </w:t>
      </w:r>
      <w:r w:rsidRPr="008F1AB2">
        <w:rPr>
          <w:noProof/>
          <w:szCs w:val="20"/>
        </w:rPr>
        <w:t>notaries</w:t>
      </w:r>
      <w:r>
        <w:rPr>
          <w:noProof/>
          <w:szCs w:val="20"/>
        </w:rPr>
        <w:t>,</w:t>
      </w:r>
      <w:r w:rsidRPr="008F1AB2">
        <w:rPr>
          <w:noProof/>
          <w:szCs w:val="20"/>
        </w:rPr>
        <w:t xml:space="preserve"> in </w:t>
      </w:r>
      <w:r>
        <w:rPr>
          <w:noProof/>
          <w:szCs w:val="20"/>
        </w:rPr>
        <w:t>those</w:t>
      </w:r>
      <w:r w:rsidRPr="008F1AB2">
        <w:rPr>
          <w:noProof/>
          <w:szCs w:val="20"/>
        </w:rPr>
        <w:t xml:space="preserve"> Member States </w:t>
      </w:r>
      <w:r>
        <w:rPr>
          <w:noProof/>
          <w:szCs w:val="20"/>
        </w:rPr>
        <w:t xml:space="preserve">where they are involved in share transfers. </w:t>
      </w:r>
    </w:p>
    <w:p w14:paraId="3889581E" w14:textId="7E6B7836" w:rsidR="0076610F" w:rsidRDefault="00DA6BA4" w:rsidP="0076610F">
      <w:pPr>
        <w:spacing w:after="120"/>
        <w:rPr>
          <w:b/>
          <w:bCs/>
          <w:noProof/>
          <w:u w:val="single"/>
        </w:rPr>
      </w:pPr>
      <w:r>
        <w:rPr>
          <w:noProof/>
          <w:szCs w:val="20"/>
        </w:rPr>
        <w:t xml:space="preserve">As to </w:t>
      </w:r>
      <w:r w:rsidR="00673158" w:rsidRPr="00A75AAE">
        <w:rPr>
          <w:b/>
          <w:noProof/>
          <w:szCs w:val="20"/>
        </w:rPr>
        <w:t>professional</w:t>
      </w:r>
      <w:r w:rsidR="008117D3" w:rsidRPr="00A75AAE">
        <w:rPr>
          <w:b/>
          <w:noProof/>
          <w:szCs w:val="20"/>
        </w:rPr>
        <w:t>s</w:t>
      </w:r>
      <w:r w:rsidR="00673158" w:rsidRPr="00A75AAE">
        <w:rPr>
          <w:b/>
          <w:noProof/>
          <w:szCs w:val="20"/>
        </w:rPr>
        <w:t xml:space="preserve"> providing </w:t>
      </w:r>
      <w:r w:rsidR="00F313A8">
        <w:rPr>
          <w:b/>
          <w:bCs/>
          <w:noProof/>
          <w:szCs w:val="20"/>
        </w:rPr>
        <w:t xml:space="preserve">private </w:t>
      </w:r>
      <w:r w:rsidR="00673158" w:rsidRPr="00A75AAE">
        <w:rPr>
          <w:b/>
          <w:noProof/>
          <w:szCs w:val="20"/>
        </w:rPr>
        <w:t>legal or consultancy services</w:t>
      </w:r>
      <w:r w:rsidR="00673158">
        <w:rPr>
          <w:noProof/>
          <w:szCs w:val="20"/>
        </w:rPr>
        <w:t>, the</w:t>
      </w:r>
      <w:r w:rsidR="008117D3">
        <w:rPr>
          <w:noProof/>
          <w:szCs w:val="20"/>
        </w:rPr>
        <w:t xml:space="preserve">y could also face some reduced revenue </w:t>
      </w:r>
      <w:r w:rsidR="00184867">
        <w:rPr>
          <w:noProof/>
          <w:szCs w:val="20"/>
        </w:rPr>
        <w:t xml:space="preserve">given that common rules including </w:t>
      </w:r>
      <w:r w:rsidR="008412DF">
        <w:rPr>
          <w:noProof/>
          <w:szCs w:val="20"/>
        </w:rPr>
        <w:t xml:space="preserve">a </w:t>
      </w:r>
      <w:r w:rsidR="00184867">
        <w:rPr>
          <w:noProof/>
          <w:szCs w:val="20"/>
        </w:rPr>
        <w:t xml:space="preserve">central interface for registration </w:t>
      </w:r>
      <w:r w:rsidR="00F94211">
        <w:rPr>
          <w:noProof/>
          <w:szCs w:val="20"/>
        </w:rPr>
        <w:t xml:space="preserve">could reduce the need </w:t>
      </w:r>
      <w:r w:rsidR="00023C78">
        <w:rPr>
          <w:noProof/>
          <w:szCs w:val="20"/>
        </w:rPr>
        <w:t xml:space="preserve">for recourse </w:t>
      </w:r>
      <w:r w:rsidR="004D6FD0">
        <w:rPr>
          <w:noProof/>
          <w:szCs w:val="20"/>
        </w:rPr>
        <w:t>to</w:t>
      </w:r>
      <w:r w:rsidR="00F94211">
        <w:rPr>
          <w:noProof/>
          <w:szCs w:val="20"/>
        </w:rPr>
        <w:t xml:space="preserve"> legal and professional</w:t>
      </w:r>
      <w:r w:rsidR="00A14D63">
        <w:rPr>
          <w:noProof/>
          <w:szCs w:val="20"/>
        </w:rPr>
        <w:t xml:space="preserve"> advice</w:t>
      </w:r>
      <w:r w:rsidR="00F94211">
        <w:rPr>
          <w:noProof/>
          <w:szCs w:val="20"/>
        </w:rPr>
        <w:t xml:space="preserve">. On the other hand, the expected </w:t>
      </w:r>
      <w:r w:rsidR="00224C57">
        <w:rPr>
          <w:noProof/>
          <w:szCs w:val="20"/>
        </w:rPr>
        <w:t>increased busi</w:t>
      </w:r>
      <w:r w:rsidR="00DE02BB">
        <w:rPr>
          <w:noProof/>
          <w:szCs w:val="20"/>
        </w:rPr>
        <w:t xml:space="preserve">ness activity and </w:t>
      </w:r>
      <w:r w:rsidR="00F12A1D">
        <w:rPr>
          <w:noProof/>
          <w:szCs w:val="20"/>
        </w:rPr>
        <w:t xml:space="preserve">enhanced competitiveness would most likely </w:t>
      </w:r>
      <w:r w:rsidR="00A64CBC">
        <w:rPr>
          <w:noProof/>
          <w:szCs w:val="20"/>
        </w:rPr>
        <w:t xml:space="preserve">at least partially </w:t>
      </w:r>
      <w:r w:rsidR="00F12A1D">
        <w:rPr>
          <w:noProof/>
          <w:szCs w:val="20"/>
        </w:rPr>
        <w:t xml:space="preserve">offset such reduction and </w:t>
      </w:r>
      <w:r w:rsidR="00B72E78">
        <w:rPr>
          <w:noProof/>
          <w:szCs w:val="20"/>
        </w:rPr>
        <w:t xml:space="preserve">in turn bring new </w:t>
      </w:r>
      <w:r w:rsidR="002E67F9">
        <w:rPr>
          <w:noProof/>
          <w:szCs w:val="20"/>
        </w:rPr>
        <w:t xml:space="preserve">business opportunities. </w:t>
      </w:r>
    </w:p>
    <w:p w14:paraId="6BD89EBA" w14:textId="4AD16AAE" w:rsidR="00050B77" w:rsidRPr="00050B77" w:rsidRDefault="00D728BE" w:rsidP="00834757">
      <w:pPr>
        <w:pStyle w:val="Text1"/>
        <w:spacing w:after="0"/>
        <w:ind w:left="0"/>
        <w:rPr>
          <w:noProof/>
        </w:rPr>
      </w:pPr>
      <w:r>
        <w:rPr>
          <w:noProof/>
        </w:rPr>
        <w:t xml:space="preserve">In general, </w:t>
      </w:r>
      <w:r w:rsidRPr="00834757">
        <w:rPr>
          <w:b/>
          <w:noProof/>
        </w:rPr>
        <w:t xml:space="preserve">stakeholders dealing with companies, e.g. creditors, </w:t>
      </w:r>
      <w:r w:rsidR="00D75969" w:rsidRPr="00834757">
        <w:rPr>
          <w:b/>
          <w:noProof/>
        </w:rPr>
        <w:t xml:space="preserve">shareholders, </w:t>
      </w:r>
      <w:r w:rsidR="00C1288E" w:rsidRPr="00834757">
        <w:rPr>
          <w:b/>
          <w:noProof/>
        </w:rPr>
        <w:t>consumers</w:t>
      </w:r>
      <w:r w:rsidR="00C1288E" w:rsidRPr="002359B0">
        <w:rPr>
          <w:noProof/>
        </w:rPr>
        <w:t xml:space="preserve"> </w:t>
      </w:r>
      <w:r w:rsidR="00B442C6">
        <w:rPr>
          <w:noProof/>
        </w:rPr>
        <w:t xml:space="preserve">would also </w:t>
      </w:r>
      <w:r w:rsidR="00A26908">
        <w:rPr>
          <w:noProof/>
        </w:rPr>
        <w:t xml:space="preserve">benefit from the initiative as </w:t>
      </w:r>
      <w:r w:rsidR="0021371B">
        <w:rPr>
          <w:noProof/>
        </w:rPr>
        <w:t xml:space="preserve">a single corporate legal framework with </w:t>
      </w:r>
      <w:r w:rsidR="0021371B" w:rsidRPr="0021371B">
        <w:rPr>
          <w:noProof/>
        </w:rPr>
        <w:t>an easily recognisable EU brand</w:t>
      </w:r>
      <w:r w:rsidR="0021371B">
        <w:rPr>
          <w:noProof/>
        </w:rPr>
        <w:t xml:space="preserve"> </w:t>
      </w:r>
      <w:r w:rsidR="00894A44">
        <w:rPr>
          <w:noProof/>
        </w:rPr>
        <w:t xml:space="preserve">would be expected to increase </w:t>
      </w:r>
      <w:r w:rsidR="00894A44" w:rsidRPr="00894A44">
        <w:rPr>
          <w:noProof/>
        </w:rPr>
        <w:t>trust in 28</w:t>
      </w:r>
      <w:r w:rsidR="00894A44" w:rsidRPr="00894A44">
        <w:rPr>
          <w:noProof/>
          <w:vertAlign w:val="superscript"/>
        </w:rPr>
        <w:t>th</w:t>
      </w:r>
      <w:r w:rsidR="00894A44" w:rsidRPr="00894A44">
        <w:rPr>
          <w:noProof/>
        </w:rPr>
        <w:t xml:space="preserve"> regime companies</w:t>
      </w:r>
      <w:r w:rsidR="002F7BE7">
        <w:rPr>
          <w:noProof/>
        </w:rPr>
        <w:t xml:space="preserve"> </w:t>
      </w:r>
      <w:r w:rsidR="00812489">
        <w:rPr>
          <w:noProof/>
        </w:rPr>
        <w:t>and</w:t>
      </w:r>
      <w:r w:rsidR="002F7BE7">
        <w:rPr>
          <w:noProof/>
        </w:rPr>
        <w:t xml:space="preserve"> also transparency about the rules that apply to them</w:t>
      </w:r>
      <w:r w:rsidR="00812489">
        <w:rPr>
          <w:noProof/>
        </w:rPr>
        <w:t xml:space="preserve">, making it easier </w:t>
      </w:r>
      <w:r w:rsidR="005625F6">
        <w:rPr>
          <w:noProof/>
        </w:rPr>
        <w:t xml:space="preserve">for such stakeholders </w:t>
      </w:r>
      <w:r w:rsidR="00E107CE">
        <w:rPr>
          <w:noProof/>
        </w:rPr>
        <w:t>to invest in or buy from 28</w:t>
      </w:r>
      <w:r w:rsidR="00E107CE" w:rsidRPr="00834757">
        <w:rPr>
          <w:noProof/>
          <w:vertAlign w:val="superscript"/>
        </w:rPr>
        <w:t>th</w:t>
      </w:r>
      <w:r w:rsidR="00E107CE">
        <w:rPr>
          <w:noProof/>
        </w:rPr>
        <w:t xml:space="preserve"> regime companies</w:t>
      </w:r>
      <w:r w:rsidR="002F7BE7">
        <w:rPr>
          <w:noProof/>
        </w:rPr>
        <w:t>.</w:t>
      </w:r>
      <w:r w:rsidR="00DA6BA4">
        <w:rPr>
          <w:noProof/>
        </w:rPr>
        <w:t xml:space="preserve"> </w:t>
      </w:r>
    </w:p>
    <w:p w14:paraId="0CBA952A" w14:textId="77777777" w:rsidR="006B087E" w:rsidRPr="007073AD" w:rsidRDefault="006B087E" w:rsidP="000E3086">
      <w:pPr>
        <w:pStyle w:val="Heading1"/>
        <w:numPr>
          <w:ilvl w:val="0"/>
          <w:numId w:val="5"/>
        </w:numPr>
        <w:rPr>
          <w:noProof/>
          <w:lang w:val="en-IE"/>
        </w:rPr>
      </w:pPr>
      <w:bookmarkStart w:id="21" w:name="_Toc219390722"/>
      <w:r w:rsidRPr="007073AD">
        <w:rPr>
          <w:noProof/>
          <w:lang w:val="en-IE"/>
        </w:rPr>
        <w:t>Summary of costs and benefits</w:t>
      </w:r>
      <w:bookmarkEnd w:id="21"/>
    </w:p>
    <w:tbl>
      <w:tblPr>
        <w:tblStyle w:val="CV12"/>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12"/>
        <w:gridCol w:w="4043"/>
        <w:gridCol w:w="3651"/>
      </w:tblGrid>
      <w:tr w:rsidR="00894730" w:rsidRPr="00F92EAE" w14:paraId="77F98253" w14:textId="77777777" w:rsidTr="00315B43">
        <w:tc>
          <w:tcPr>
            <w:tcW w:w="10206" w:type="dxa"/>
            <w:gridSpan w:val="3"/>
            <w:tcBorders>
              <w:top w:val="double" w:sz="4" w:space="0" w:color="auto"/>
              <w:bottom w:val="single" w:sz="4" w:space="0" w:color="auto"/>
            </w:tcBorders>
            <w:shd w:val="clear" w:color="auto" w:fill="C6D9F1" w:themeFill="text2" w:themeFillTint="33"/>
          </w:tcPr>
          <w:p w14:paraId="2BF88455" w14:textId="77777777" w:rsidR="00801268" w:rsidRPr="00F92EAE" w:rsidRDefault="00801268" w:rsidP="009D4C15">
            <w:pPr>
              <w:spacing w:after="0"/>
              <w:rPr>
                <w:b/>
                <w:noProof/>
                <w:sz w:val="20"/>
              </w:rPr>
            </w:pPr>
            <w:r w:rsidRPr="00F92EAE">
              <w:rPr>
                <w:b/>
                <w:noProof/>
                <w:sz w:val="20"/>
              </w:rPr>
              <w:t>I. Overview of Benefits (total for all provisions) – Preferred Option</w:t>
            </w:r>
          </w:p>
        </w:tc>
      </w:tr>
      <w:tr w:rsidR="001F3961" w:rsidRPr="00F92EAE" w14:paraId="630D315E" w14:textId="77777777" w:rsidTr="00315B43">
        <w:tc>
          <w:tcPr>
            <w:tcW w:w="2512" w:type="dxa"/>
            <w:tcBorders>
              <w:top w:val="single" w:sz="4" w:space="0" w:color="auto"/>
            </w:tcBorders>
            <w:shd w:val="clear" w:color="auto" w:fill="C6D9F1" w:themeFill="text2" w:themeFillTint="33"/>
          </w:tcPr>
          <w:p w14:paraId="3A099500" w14:textId="77777777" w:rsidR="00801268" w:rsidRPr="00F92EAE" w:rsidRDefault="00801268" w:rsidP="009D4C15">
            <w:pPr>
              <w:spacing w:after="0"/>
              <w:jc w:val="center"/>
              <w:rPr>
                <w:b/>
                <w:i/>
                <w:noProof/>
                <w:sz w:val="20"/>
              </w:rPr>
            </w:pPr>
            <w:r w:rsidRPr="00F92EAE">
              <w:rPr>
                <w:b/>
                <w:i/>
                <w:noProof/>
                <w:sz w:val="20"/>
              </w:rPr>
              <w:t>Description</w:t>
            </w:r>
          </w:p>
        </w:tc>
        <w:tc>
          <w:tcPr>
            <w:tcW w:w="4043" w:type="dxa"/>
            <w:tcBorders>
              <w:top w:val="single" w:sz="4" w:space="0" w:color="auto"/>
            </w:tcBorders>
            <w:shd w:val="clear" w:color="auto" w:fill="C6D9F1" w:themeFill="text2" w:themeFillTint="33"/>
          </w:tcPr>
          <w:p w14:paraId="1CA5FBBE" w14:textId="77777777" w:rsidR="00801268" w:rsidRPr="00F92EAE" w:rsidRDefault="00801268" w:rsidP="009D4C15">
            <w:pPr>
              <w:spacing w:after="0"/>
              <w:jc w:val="center"/>
              <w:rPr>
                <w:b/>
                <w:i/>
                <w:noProof/>
                <w:sz w:val="20"/>
              </w:rPr>
            </w:pPr>
            <w:r w:rsidRPr="00F92EAE">
              <w:rPr>
                <w:b/>
                <w:i/>
                <w:noProof/>
                <w:sz w:val="20"/>
              </w:rPr>
              <w:t>Amount</w:t>
            </w:r>
          </w:p>
        </w:tc>
        <w:tc>
          <w:tcPr>
            <w:tcW w:w="3651" w:type="dxa"/>
            <w:tcBorders>
              <w:top w:val="single" w:sz="4" w:space="0" w:color="auto"/>
            </w:tcBorders>
            <w:shd w:val="clear" w:color="auto" w:fill="C6D9F1" w:themeFill="text2" w:themeFillTint="33"/>
            <w:tcMar>
              <w:top w:w="57" w:type="dxa"/>
              <w:left w:w="57" w:type="dxa"/>
              <w:bottom w:w="57" w:type="dxa"/>
              <w:right w:w="57" w:type="dxa"/>
            </w:tcMar>
          </w:tcPr>
          <w:p w14:paraId="26B75A3A" w14:textId="77777777" w:rsidR="00801268" w:rsidRPr="00F92EAE" w:rsidRDefault="00801268" w:rsidP="009D4C15">
            <w:pPr>
              <w:spacing w:after="0"/>
              <w:jc w:val="center"/>
              <w:rPr>
                <w:b/>
                <w:i/>
                <w:noProof/>
                <w:sz w:val="20"/>
              </w:rPr>
            </w:pPr>
            <w:r w:rsidRPr="00F92EAE">
              <w:rPr>
                <w:b/>
                <w:i/>
                <w:noProof/>
                <w:sz w:val="20"/>
              </w:rPr>
              <w:t>Comments</w:t>
            </w:r>
          </w:p>
        </w:tc>
      </w:tr>
      <w:tr w:rsidR="005C4F00" w:rsidRPr="00F92EAE" w14:paraId="09ACB1A8" w14:textId="77777777" w:rsidTr="00315B43">
        <w:tc>
          <w:tcPr>
            <w:tcW w:w="10206" w:type="dxa"/>
            <w:gridSpan w:val="3"/>
            <w:tcBorders>
              <w:top w:val="double" w:sz="4" w:space="0" w:color="auto"/>
            </w:tcBorders>
            <w:shd w:val="clear" w:color="auto" w:fill="F2F2F2" w:themeFill="background1" w:themeFillShade="F2"/>
          </w:tcPr>
          <w:p w14:paraId="0C2BDC3C" w14:textId="77777777" w:rsidR="00801268" w:rsidRPr="00F92EAE" w:rsidRDefault="00801268" w:rsidP="009D4C15">
            <w:pPr>
              <w:spacing w:after="0"/>
              <w:jc w:val="center"/>
              <w:rPr>
                <w:b/>
                <w:i/>
                <w:noProof/>
                <w:sz w:val="20"/>
              </w:rPr>
            </w:pPr>
            <w:r w:rsidRPr="00F92EAE">
              <w:rPr>
                <w:b/>
                <w:i/>
                <w:noProof/>
                <w:sz w:val="20"/>
              </w:rPr>
              <w:t>Direct benefits</w:t>
            </w:r>
          </w:p>
        </w:tc>
      </w:tr>
      <w:tr w:rsidR="00003642" w:rsidRPr="00F92EAE" w14:paraId="602CB336" w14:textId="77777777" w:rsidTr="00315B43">
        <w:tc>
          <w:tcPr>
            <w:tcW w:w="2512" w:type="dxa"/>
            <w:tcBorders>
              <w:top w:val="double" w:sz="4" w:space="0" w:color="auto"/>
            </w:tcBorders>
          </w:tcPr>
          <w:p w14:paraId="412834ED" w14:textId="3740F3F0" w:rsidR="00801268" w:rsidRPr="00F92EAE" w:rsidRDefault="00801268" w:rsidP="009D4C15">
            <w:pPr>
              <w:spacing w:after="0"/>
              <w:rPr>
                <w:noProof/>
                <w:sz w:val="20"/>
              </w:rPr>
            </w:pPr>
            <w:r w:rsidRPr="00F92EAE" w:rsidDel="00D308A2">
              <w:rPr>
                <w:noProof/>
                <w:sz w:val="20"/>
              </w:rPr>
              <w:t>Compliance</w:t>
            </w:r>
            <w:r w:rsidR="00F54299">
              <w:rPr>
                <w:noProof/>
                <w:sz w:val="20"/>
              </w:rPr>
              <w:t> </w:t>
            </w:r>
            <w:r w:rsidR="00D308A2">
              <w:rPr>
                <w:noProof/>
                <w:sz w:val="20"/>
              </w:rPr>
              <w:t>burden</w:t>
            </w:r>
            <w:r w:rsidRPr="00F92EAE">
              <w:rPr>
                <w:noProof/>
                <w:sz w:val="20"/>
              </w:rPr>
              <w:t xml:space="preserve"> reduction</w:t>
            </w:r>
          </w:p>
        </w:tc>
        <w:tc>
          <w:tcPr>
            <w:tcW w:w="4043" w:type="dxa"/>
            <w:tcBorders>
              <w:top w:val="double" w:sz="4" w:space="0" w:color="auto"/>
            </w:tcBorders>
            <w:tcMar>
              <w:top w:w="57" w:type="dxa"/>
              <w:left w:w="57" w:type="dxa"/>
              <w:bottom w:w="57" w:type="dxa"/>
              <w:right w:w="57" w:type="dxa"/>
            </w:tcMar>
          </w:tcPr>
          <w:p w14:paraId="46A39CB8" w14:textId="2F5410A0" w:rsidR="00C24505" w:rsidRDefault="001E10A2" w:rsidP="0047037F">
            <w:pPr>
              <w:spacing w:after="0"/>
              <w:jc w:val="center"/>
              <w:rPr>
                <w:noProof/>
                <w:sz w:val="20"/>
                <w:szCs w:val="20"/>
              </w:rPr>
            </w:pPr>
            <w:r>
              <w:rPr>
                <w:noProof/>
                <w:sz w:val="20"/>
                <w:szCs w:val="20"/>
              </w:rPr>
              <w:t>B</w:t>
            </w:r>
            <w:r w:rsidR="00C00DC9" w:rsidRPr="1C041486">
              <w:rPr>
                <w:noProof/>
                <w:sz w:val="20"/>
                <w:szCs w:val="20"/>
              </w:rPr>
              <w:t>etween EUR</w:t>
            </w:r>
            <w:r w:rsidR="00CE2FF4">
              <w:rPr>
                <w:noProof/>
                <w:sz w:val="20"/>
                <w:szCs w:val="20"/>
              </w:rPr>
              <w:t> </w:t>
            </w:r>
            <w:r w:rsidR="008F4435">
              <w:rPr>
                <w:noProof/>
                <w:sz w:val="20"/>
                <w:szCs w:val="20"/>
              </w:rPr>
              <w:t>328</w:t>
            </w:r>
            <w:r w:rsidR="726C9D55" w:rsidRPr="1C041486">
              <w:rPr>
                <w:rFonts w:ascii="Aptos" w:eastAsia="Aptos" w:hAnsi="Aptos" w:cs="Aptos"/>
                <w:noProof/>
              </w:rPr>
              <w:t xml:space="preserve"> </w:t>
            </w:r>
            <w:r w:rsidR="008F4435">
              <w:rPr>
                <w:noProof/>
                <w:sz w:val="20"/>
                <w:szCs w:val="20"/>
              </w:rPr>
              <w:t>005</w:t>
            </w:r>
            <w:r w:rsidR="759C7260" w:rsidRPr="1C041486">
              <w:rPr>
                <w:rFonts w:ascii="Aptos" w:eastAsia="Aptos" w:hAnsi="Aptos" w:cs="Aptos"/>
                <w:noProof/>
              </w:rPr>
              <w:t xml:space="preserve"> </w:t>
            </w:r>
            <w:r w:rsidR="009434D3">
              <w:rPr>
                <w:noProof/>
                <w:sz w:val="20"/>
                <w:szCs w:val="20"/>
              </w:rPr>
              <w:t>855</w:t>
            </w:r>
            <w:r w:rsidR="00C00DC9" w:rsidRPr="1C041486">
              <w:rPr>
                <w:noProof/>
                <w:sz w:val="20"/>
                <w:szCs w:val="20"/>
              </w:rPr>
              <w:t xml:space="preserve"> </w:t>
            </w:r>
          </w:p>
          <w:p w14:paraId="45F3129D" w14:textId="77777777" w:rsidR="006D74F7" w:rsidRDefault="00C00DC9" w:rsidP="0047037F">
            <w:pPr>
              <w:spacing w:after="0"/>
              <w:jc w:val="center"/>
              <w:rPr>
                <w:noProof/>
                <w:sz w:val="20"/>
                <w:szCs w:val="20"/>
              </w:rPr>
            </w:pPr>
            <w:r w:rsidRPr="1C041486">
              <w:rPr>
                <w:noProof/>
                <w:sz w:val="20"/>
                <w:szCs w:val="20"/>
              </w:rPr>
              <w:t xml:space="preserve">and EUR </w:t>
            </w:r>
            <w:r w:rsidR="0056024E">
              <w:rPr>
                <w:noProof/>
                <w:sz w:val="20"/>
                <w:szCs w:val="20"/>
              </w:rPr>
              <w:t>440</w:t>
            </w:r>
            <w:r w:rsidR="4DC8D573" w:rsidRPr="1C041486">
              <w:rPr>
                <w:rFonts w:ascii="Aptos" w:eastAsia="Aptos" w:hAnsi="Aptos" w:cs="Aptos"/>
                <w:noProof/>
              </w:rPr>
              <w:t xml:space="preserve"> </w:t>
            </w:r>
            <w:r w:rsidR="0056024E">
              <w:rPr>
                <w:noProof/>
                <w:sz w:val="20"/>
                <w:szCs w:val="20"/>
              </w:rPr>
              <w:t>433</w:t>
            </w:r>
            <w:r w:rsidR="74A9A0D5" w:rsidRPr="1C041486">
              <w:rPr>
                <w:rFonts w:ascii="Aptos" w:eastAsia="Aptos" w:hAnsi="Aptos" w:cs="Aptos"/>
                <w:noProof/>
              </w:rPr>
              <w:t xml:space="preserve"> </w:t>
            </w:r>
            <w:r w:rsidR="0081464A">
              <w:rPr>
                <w:noProof/>
                <w:sz w:val="20"/>
                <w:szCs w:val="20"/>
              </w:rPr>
              <w:t>479</w:t>
            </w:r>
            <w:r w:rsidR="00775EC5">
              <w:rPr>
                <w:noProof/>
                <w:sz w:val="20"/>
                <w:szCs w:val="20"/>
              </w:rPr>
              <w:t xml:space="preserve"> for </w:t>
            </w:r>
          </w:p>
          <w:p w14:paraId="7CFAFE44" w14:textId="3CA8B62D" w:rsidR="00E66EAF" w:rsidRDefault="00775EC5" w:rsidP="0047037F">
            <w:pPr>
              <w:spacing w:after="0"/>
              <w:jc w:val="center"/>
              <w:rPr>
                <w:noProof/>
                <w:sz w:val="20"/>
                <w:szCs w:val="20"/>
              </w:rPr>
            </w:pPr>
            <w:r>
              <w:rPr>
                <w:noProof/>
                <w:sz w:val="20"/>
                <w:szCs w:val="20"/>
              </w:rPr>
              <w:t>policy options PO1 – PO</w:t>
            </w:r>
            <w:r w:rsidR="00661AE2">
              <w:rPr>
                <w:noProof/>
                <w:sz w:val="20"/>
                <w:szCs w:val="20"/>
              </w:rPr>
              <w:t>6</w:t>
            </w:r>
            <w:r>
              <w:rPr>
                <w:noProof/>
                <w:sz w:val="20"/>
                <w:szCs w:val="20"/>
              </w:rPr>
              <w:t>.</w:t>
            </w:r>
            <w:r w:rsidR="00B22EFE">
              <w:rPr>
                <w:noProof/>
                <w:sz w:val="20"/>
                <w:szCs w:val="20"/>
              </w:rPr>
              <w:t xml:space="preserve"> </w:t>
            </w:r>
          </w:p>
          <w:p w14:paraId="09968D9F" w14:textId="178E011D" w:rsidR="0080122E" w:rsidRDefault="00B22EFE" w:rsidP="0047037F">
            <w:pPr>
              <w:spacing w:after="0"/>
              <w:jc w:val="center"/>
              <w:rPr>
                <w:noProof/>
                <w:sz w:val="20"/>
                <w:szCs w:val="20"/>
              </w:rPr>
            </w:pPr>
            <w:r>
              <w:rPr>
                <w:noProof/>
                <w:sz w:val="20"/>
                <w:szCs w:val="20"/>
              </w:rPr>
              <w:t>Savings were calculated per transaction/financing round for</w:t>
            </w:r>
            <w:r w:rsidR="00661AE2">
              <w:rPr>
                <w:noProof/>
                <w:sz w:val="20"/>
                <w:szCs w:val="20"/>
              </w:rPr>
              <w:t xml:space="preserve"> </w:t>
            </w:r>
            <w:r w:rsidR="00F72CDD">
              <w:rPr>
                <w:noProof/>
                <w:sz w:val="20"/>
                <w:szCs w:val="20"/>
              </w:rPr>
              <w:t>part of the</w:t>
            </w:r>
            <w:r w:rsidR="00661AE2">
              <w:rPr>
                <w:noProof/>
                <w:sz w:val="20"/>
                <w:szCs w:val="20"/>
              </w:rPr>
              <w:t xml:space="preserve"> measures of</w:t>
            </w:r>
            <w:r>
              <w:rPr>
                <w:noProof/>
                <w:sz w:val="20"/>
                <w:szCs w:val="20"/>
              </w:rPr>
              <w:t xml:space="preserve"> </w:t>
            </w:r>
            <w:r w:rsidR="00883CAF">
              <w:rPr>
                <w:noProof/>
                <w:sz w:val="20"/>
                <w:szCs w:val="20"/>
              </w:rPr>
              <w:t xml:space="preserve">PO6 and </w:t>
            </w:r>
            <w:r w:rsidR="00661AE2">
              <w:rPr>
                <w:noProof/>
                <w:sz w:val="20"/>
                <w:szCs w:val="20"/>
              </w:rPr>
              <w:t xml:space="preserve">for </w:t>
            </w:r>
            <w:r w:rsidR="00883CAF">
              <w:rPr>
                <w:noProof/>
                <w:sz w:val="20"/>
                <w:szCs w:val="20"/>
              </w:rPr>
              <w:t>PO7</w:t>
            </w:r>
            <w:r w:rsidR="003D2164">
              <w:rPr>
                <w:noProof/>
                <w:sz w:val="20"/>
                <w:szCs w:val="20"/>
              </w:rPr>
              <w:t>,</w:t>
            </w:r>
            <w:r w:rsidR="00883CAF">
              <w:rPr>
                <w:noProof/>
                <w:sz w:val="20"/>
                <w:szCs w:val="20"/>
              </w:rPr>
              <w:t xml:space="preserve"> amounting to </w:t>
            </w:r>
            <w:r w:rsidR="000F31C8" w:rsidRPr="00C25D21">
              <w:rPr>
                <w:noProof/>
                <w:sz w:val="20"/>
                <w:szCs w:val="20"/>
              </w:rPr>
              <w:t xml:space="preserve">EUR 1 100 and EUR </w:t>
            </w:r>
            <w:r w:rsidR="00AF4F63" w:rsidRPr="00C25D21">
              <w:rPr>
                <w:noProof/>
                <w:sz w:val="20"/>
                <w:szCs w:val="20"/>
              </w:rPr>
              <w:t>1 780– EUR 2 850, respectively</w:t>
            </w:r>
            <w:r w:rsidR="003D2164">
              <w:rPr>
                <w:noProof/>
                <w:sz w:val="20"/>
                <w:szCs w:val="20"/>
              </w:rPr>
              <w:t>.</w:t>
            </w:r>
            <w:r w:rsidR="00602F48">
              <w:rPr>
                <w:noProof/>
                <w:sz w:val="20"/>
                <w:szCs w:val="20"/>
              </w:rPr>
              <w:t xml:space="preserve"> </w:t>
            </w:r>
          </w:p>
          <w:p w14:paraId="3E833918" w14:textId="4FB74237" w:rsidR="00801268" w:rsidRPr="00F92EAE" w:rsidRDefault="00801268" w:rsidP="0047037F">
            <w:pPr>
              <w:spacing w:after="0"/>
              <w:jc w:val="center"/>
              <w:rPr>
                <w:noProof/>
                <w:sz w:val="20"/>
                <w:szCs w:val="20"/>
              </w:rPr>
            </w:pPr>
          </w:p>
        </w:tc>
        <w:tc>
          <w:tcPr>
            <w:tcW w:w="3651" w:type="dxa"/>
            <w:tcBorders>
              <w:top w:val="double" w:sz="4" w:space="0" w:color="auto"/>
            </w:tcBorders>
            <w:tcMar>
              <w:top w:w="57" w:type="dxa"/>
              <w:left w:w="57" w:type="dxa"/>
              <w:bottom w:w="57" w:type="dxa"/>
              <w:right w:w="57" w:type="dxa"/>
            </w:tcMar>
          </w:tcPr>
          <w:p w14:paraId="4B32351F" w14:textId="1B0C12B1" w:rsidR="00801268" w:rsidRPr="00F92EAE" w:rsidRDefault="00FC7B77" w:rsidP="00975C65">
            <w:pPr>
              <w:spacing w:after="0"/>
              <w:rPr>
                <w:noProof/>
                <w:sz w:val="20"/>
              </w:rPr>
            </w:pPr>
            <w:r w:rsidRPr="00FC7B77">
              <w:rPr>
                <w:noProof/>
                <w:sz w:val="20"/>
              </w:rPr>
              <w:t>Estimated</w:t>
            </w:r>
            <w:r w:rsidRPr="00FC7B77" w:rsidDel="00AA4EC7">
              <w:rPr>
                <w:noProof/>
                <w:sz w:val="20"/>
              </w:rPr>
              <w:t xml:space="preserve"> </w:t>
            </w:r>
            <w:r w:rsidRPr="00FC7B77">
              <w:rPr>
                <w:noProof/>
                <w:sz w:val="20"/>
              </w:rPr>
              <w:t xml:space="preserve">administrative cost savings over </w:t>
            </w:r>
            <w:r w:rsidR="00D9748E">
              <w:rPr>
                <w:noProof/>
                <w:sz w:val="20"/>
              </w:rPr>
              <w:t xml:space="preserve">10 years </w:t>
            </w:r>
            <w:r w:rsidR="008A75C8">
              <w:rPr>
                <w:noProof/>
                <w:sz w:val="20"/>
              </w:rPr>
              <w:t>across the lifecycle of 28</w:t>
            </w:r>
            <w:r w:rsidR="008A75C8" w:rsidRPr="00C25D21">
              <w:rPr>
                <w:noProof/>
                <w:sz w:val="20"/>
                <w:vertAlign w:val="superscript"/>
              </w:rPr>
              <w:t>th</w:t>
            </w:r>
            <w:r w:rsidR="008A75C8">
              <w:rPr>
                <w:noProof/>
                <w:sz w:val="20"/>
              </w:rPr>
              <w:t xml:space="preserve"> regime companies, </w:t>
            </w:r>
            <w:r w:rsidRPr="00FC7B77">
              <w:rPr>
                <w:noProof/>
                <w:sz w:val="20"/>
              </w:rPr>
              <w:t>resulting from simpl</w:t>
            </w:r>
            <w:r w:rsidR="00EA7671">
              <w:rPr>
                <w:noProof/>
                <w:sz w:val="20"/>
              </w:rPr>
              <w:t>er</w:t>
            </w:r>
            <w:r w:rsidRPr="00FC7B77">
              <w:rPr>
                <w:noProof/>
                <w:sz w:val="20"/>
              </w:rPr>
              <w:t xml:space="preserve"> </w:t>
            </w:r>
            <w:r w:rsidR="00EA7671" w:rsidRPr="00EA7671">
              <w:rPr>
                <w:noProof/>
                <w:sz w:val="20"/>
              </w:rPr>
              <w:t>and more efficient registration procedures with the application of once-only principle and no need to pay in minimum share capital at incorporation</w:t>
            </w:r>
            <w:r w:rsidR="00EA7671">
              <w:rPr>
                <w:noProof/>
                <w:sz w:val="20"/>
              </w:rPr>
              <w:t xml:space="preserve">; </w:t>
            </w:r>
            <w:r>
              <w:rPr>
                <w:noProof/>
                <w:sz w:val="20"/>
              </w:rPr>
              <w:t xml:space="preserve">the </w:t>
            </w:r>
            <w:r w:rsidR="00EA7671" w:rsidRPr="00EA7671">
              <w:rPr>
                <w:noProof/>
                <w:sz w:val="20"/>
              </w:rPr>
              <w:t>common EU-ESO</w:t>
            </w:r>
            <w:r>
              <w:rPr>
                <w:noProof/>
                <w:sz w:val="20"/>
              </w:rPr>
              <w:t xml:space="preserve"> scheme </w:t>
            </w:r>
            <w:r w:rsidR="00EA7671" w:rsidRPr="00EA7671">
              <w:rPr>
                <w:noProof/>
                <w:sz w:val="20"/>
              </w:rPr>
              <w:t xml:space="preserve"> for employee stock options with a harmonised timing of taxation</w:t>
            </w:r>
            <w:r w:rsidR="00EA7671">
              <w:rPr>
                <w:noProof/>
                <w:sz w:val="20"/>
              </w:rPr>
              <w:t xml:space="preserve">; </w:t>
            </w:r>
            <w:r w:rsidR="00EA7671" w:rsidRPr="00EA7671">
              <w:rPr>
                <w:noProof/>
                <w:sz w:val="20"/>
              </w:rPr>
              <w:t>measures to simplify and digitalise closure procedures</w:t>
            </w:r>
            <w:r w:rsidR="00D9748E">
              <w:rPr>
                <w:noProof/>
                <w:sz w:val="20"/>
              </w:rPr>
              <w:t xml:space="preserve">; </w:t>
            </w:r>
            <w:r w:rsidR="00540F87">
              <w:rPr>
                <w:noProof/>
                <w:sz w:val="20"/>
              </w:rPr>
              <w:t xml:space="preserve">and </w:t>
            </w:r>
            <w:r w:rsidR="00D9748E" w:rsidRPr="00D9748E">
              <w:rPr>
                <w:noProof/>
                <w:sz w:val="20"/>
              </w:rPr>
              <w:t>digital procedures and simplifications of capital operations, including capital increases and share transfers</w:t>
            </w:r>
            <w:r w:rsidRPr="00FC7B77">
              <w:rPr>
                <w:noProof/>
                <w:sz w:val="20"/>
              </w:rPr>
              <w:t>. Estimates are based on Standard Cost Model calculations and depend on take-up assumptions</w:t>
            </w:r>
            <w:r w:rsidRPr="00FC7B77" w:rsidDel="00975C65">
              <w:rPr>
                <w:noProof/>
                <w:sz w:val="20"/>
              </w:rPr>
              <w:t>.</w:t>
            </w:r>
            <w:r w:rsidR="0045491F">
              <w:rPr>
                <w:noProof/>
                <w:sz w:val="20"/>
              </w:rPr>
              <w:t xml:space="preserve"> Estimations for </w:t>
            </w:r>
            <w:r w:rsidR="00573203">
              <w:rPr>
                <w:noProof/>
                <w:sz w:val="20"/>
              </w:rPr>
              <w:t xml:space="preserve">part of the measures </w:t>
            </w:r>
            <w:r w:rsidR="00F72CDD">
              <w:rPr>
                <w:noProof/>
                <w:sz w:val="20"/>
              </w:rPr>
              <w:t xml:space="preserve">of </w:t>
            </w:r>
            <w:r w:rsidR="0045491F">
              <w:rPr>
                <w:noProof/>
                <w:sz w:val="20"/>
              </w:rPr>
              <w:t xml:space="preserve">PO6 and </w:t>
            </w:r>
            <w:r w:rsidR="00F72CDD">
              <w:rPr>
                <w:noProof/>
                <w:sz w:val="20"/>
              </w:rPr>
              <w:t xml:space="preserve">for </w:t>
            </w:r>
            <w:r w:rsidR="0045491F">
              <w:rPr>
                <w:noProof/>
                <w:sz w:val="20"/>
              </w:rPr>
              <w:t xml:space="preserve">PO7 were done per operation </w:t>
            </w:r>
            <w:r w:rsidR="0045491F">
              <w:rPr>
                <w:noProof/>
                <w:sz w:val="20"/>
                <w:szCs w:val="20"/>
              </w:rPr>
              <w:t>a</w:t>
            </w:r>
            <w:r w:rsidR="0045491F" w:rsidRPr="00883CAF">
              <w:rPr>
                <w:noProof/>
                <w:sz w:val="20"/>
                <w:szCs w:val="20"/>
              </w:rPr>
              <w:t>s the number of financing transactions</w:t>
            </w:r>
            <w:r w:rsidR="00FE37D9">
              <w:rPr>
                <w:noProof/>
                <w:sz w:val="20"/>
                <w:szCs w:val="20"/>
              </w:rPr>
              <w:t>/share transfers</w:t>
            </w:r>
            <w:r w:rsidR="0045491F" w:rsidRPr="00883CAF">
              <w:rPr>
                <w:noProof/>
                <w:sz w:val="20"/>
                <w:szCs w:val="20"/>
              </w:rPr>
              <w:t xml:space="preserve"> by 28</w:t>
            </w:r>
            <w:r w:rsidR="0045491F" w:rsidRPr="003C472F">
              <w:rPr>
                <w:noProof/>
                <w:sz w:val="20"/>
                <w:szCs w:val="20"/>
                <w:vertAlign w:val="superscript"/>
              </w:rPr>
              <w:t>th</w:t>
            </w:r>
            <w:r w:rsidR="0045491F" w:rsidRPr="00883CAF">
              <w:rPr>
                <w:noProof/>
                <w:sz w:val="20"/>
                <w:szCs w:val="20"/>
              </w:rPr>
              <w:t xml:space="preserve"> regime companies cannot reliably be estimated.</w:t>
            </w:r>
          </w:p>
        </w:tc>
      </w:tr>
      <w:tr w:rsidR="005930D6" w:rsidRPr="00F92EAE" w14:paraId="3256E675" w14:textId="77777777" w:rsidTr="00315B43">
        <w:tc>
          <w:tcPr>
            <w:tcW w:w="2512" w:type="dxa"/>
            <w:tcBorders>
              <w:bottom w:val="double" w:sz="4" w:space="0" w:color="auto"/>
            </w:tcBorders>
          </w:tcPr>
          <w:p w14:paraId="2DE40D5D" w14:textId="20601735" w:rsidR="005930D6" w:rsidRPr="00F92EAE" w:rsidRDefault="005930D6" w:rsidP="005930D6">
            <w:pPr>
              <w:spacing w:after="0"/>
              <w:rPr>
                <w:noProof/>
                <w:sz w:val="20"/>
              </w:rPr>
            </w:pPr>
            <w:r>
              <w:rPr>
                <w:noProof/>
                <w:sz w:val="20"/>
              </w:rPr>
              <w:t>Ease of doing business</w:t>
            </w:r>
          </w:p>
        </w:tc>
        <w:tc>
          <w:tcPr>
            <w:tcW w:w="4043" w:type="dxa"/>
            <w:tcBorders>
              <w:bottom w:val="double" w:sz="4" w:space="0" w:color="auto"/>
            </w:tcBorders>
            <w:tcMar>
              <w:top w:w="57" w:type="dxa"/>
              <w:left w:w="57" w:type="dxa"/>
              <w:bottom w:w="57" w:type="dxa"/>
              <w:right w:w="57" w:type="dxa"/>
            </w:tcMar>
          </w:tcPr>
          <w:p w14:paraId="20E16E19" w14:textId="37A4CFEB" w:rsidR="005930D6" w:rsidRPr="00F92EAE" w:rsidRDefault="005930D6" w:rsidP="0047037F">
            <w:pPr>
              <w:spacing w:after="0"/>
              <w:jc w:val="center"/>
              <w:rPr>
                <w:noProof/>
                <w:sz w:val="20"/>
              </w:rPr>
            </w:pPr>
            <w:r>
              <w:rPr>
                <w:noProof/>
                <w:sz w:val="20"/>
              </w:rPr>
              <w:t>No quantified</w:t>
            </w:r>
            <w:r w:rsidR="00944500">
              <w:rPr>
                <w:noProof/>
                <w:sz w:val="20"/>
              </w:rPr>
              <w:t xml:space="preserve"> </w:t>
            </w:r>
            <w:r w:rsidR="00944500" w:rsidRPr="00944500">
              <w:rPr>
                <w:noProof/>
                <w:sz w:val="20"/>
              </w:rPr>
              <w:t>estimates available.</w:t>
            </w:r>
          </w:p>
        </w:tc>
        <w:tc>
          <w:tcPr>
            <w:tcW w:w="3651" w:type="dxa"/>
            <w:tcBorders>
              <w:bottom w:val="double" w:sz="4" w:space="0" w:color="auto"/>
            </w:tcBorders>
            <w:tcMar>
              <w:top w:w="57" w:type="dxa"/>
              <w:left w:w="57" w:type="dxa"/>
              <w:bottom w:w="57" w:type="dxa"/>
              <w:right w:w="57" w:type="dxa"/>
            </w:tcMar>
          </w:tcPr>
          <w:p w14:paraId="0349693C" w14:textId="58D9BAF4" w:rsidR="005930D6" w:rsidRPr="00F92EAE" w:rsidRDefault="005930D6" w:rsidP="005930D6">
            <w:pPr>
              <w:spacing w:after="0"/>
              <w:rPr>
                <w:noProof/>
                <w:sz w:val="20"/>
              </w:rPr>
            </w:pPr>
            <w:r w:rsidRPr="0047037F">
              <w:rPr>
                <w:noProof/>
                <w:sz w:val="20"/>
                <w:szCs w:val="20"/>
              </w:rPr>
              <w:t>Improved ease of doing business due to the availability of a single optional EU corporate framework covering key stages of the company lifecycle. This impact reflects qualitative efficiency gains</w:t>
            </w:r>
            <w:r w:rsidR="00F141FB">
              <w:rPr>
                <w:noProof/>
                <w:sz w:val="20"/>
                <w:szCs w:val="20"/>
              </w:rPr>
              <w:t xml:space="preserve">. </w:t>
            </w:r>
            <w:r w:rsidR="00F141FB" w:rsidRPr="00F141FB">
              <w:rPr>
                <w:noProof/>
                <w:sz w:val="20"/>
                <w:szCs w:val="20"/>
              </w:rPr>
              <w:t xml:space="preserve">See detailed description and motivation in Annex 4 </w:t>
            </w:r>
            <w:r w:rsidR="00E85045">
              <w:rPr>
                <w:noProof/>
                <w:sz w:val="20"/>
                <w:szCs w:val="20"/>
              </w:rPr>
              <w:t>in</w:t>
            </w:r>
            <w:r w:rsidR="00F141FB" w:rsidRPr="00F141FB">
              <w:rPr>
                <w:noProof/>
                <w:sz w:val="20"/>
                <w:szCs w:val="20"/>
              </w:rPr>
              <w:t xml:space="preserve"> the sections on efficiency</w:t>
            </w:r>
            <w:r w:rsidR="00E85045">
              <w:rPr>
                <w:noProof/>
                <w:sz w:val="20"/>
                <w:szCs w:val="20"/>
              </w:rPr>
              <w:t>.</w:t>
            </w:r>
          </w:p>
        </w:tc>
      </w:tr>
      <w:tr w:rsidR="005930D6" w:rsidRPr="00F92EAE" w14:paraId="2B90B80F" w14:textId="77777777" w:rsidTr="00315B43">
        <w:tc>
          <w:tcPr>
            <w:tcW w:w="2512" w:type="dxa"/>
            <w:tcBorders>
              <w:bottom w:val="double" w:sz="4" w:space="0" w:color="auto"/>
            </w:tcBorders>
          </w:tcPr>
          <w:p w14:paraId="3C56A270" w14:textId="3494E1FD" w:rsidR="005930D6" w:rsidRPr="00B11271" w:rsidRDefault="005930D6" w:rsidP="00BF260A">
            <w:pPr>
              <w:spacing w:after="0"/>
              <w:jc w:val="left"/>
              <w:rPr>
                <w:noProof/>
                <w:sz w:val="20"/>
              </w:rPr>
            </w:pPr>
            <w:r>
              <w:rPr>
                <w:noProof/>
                <w:sz w:val="20"/>
              </w:rPr>
              <w:t>Ease of attracting investment</w:t>
            </w:r>
          </w:p>
        </w:tc>
        <w:tc>
          <w:tcPr>
            <w:tcW w:w="4043" w:type="dxa"/>
            <w:tcBorders>
              <w:bottom w:val="double" w:sz="4" w:space="0" w:color="auto"/>
            </w:tcBorders>
            <w:tcMar>
              <w:top w:w="57" w:type="dxa"/>
              <w:left w:w="57" w:type="dxa"/>
              <w:bottom w:w="57" w:type="dxa"/>
              <w:right w:w="57" w:type="dxa"/>
            </w:tcMar>
          </w:tcPr>
          <w:p w14:paraId="62A27B07" w14:textId="48C9415D" w:rsidR="005930D6" w:rsidRPr="00F92EAE" w:rsidRDefault="00944500" w:rsidP="0047037F">
            <w:pPr>
              <w:spacing w:after="0"/>
              <w:jc w:val="center"/>
              <w:rPr>
                <w:noProof/>
                <w:sz w:val="20"/>
              </w:rPr>
            </w:pPr>
            <w:r>
              <w:rPr>
                <w:noProof/>
                <w:sz w:val="20"/>
              </w:rPr>
              <w:t xml:space="preserve">No quantified </w:t>
            </w:r>
            <w:r w:rsidRPr="00944500">
              <w:rPr>
                <w:noProof/>
                <w:sz w:val="20"/>
              </w:rPr>
              <w:t>estimates available.</w:t>
            </w:r>
          </w:p>
        </w:tc>
        <w:tc>
          <w:tcPr>
            <w:tcW w:w="3651" w:type="dxa"/>
            <w:tcBorders>
              <w:bottom w:val="double" w:sz="4" w:space="0" w:color="auto"/>
            </w:tcBorders>
            <w:tcMar>
              <w:top w:w="57" w:type="dxa"/>
              <w:left w:w="57" w:type="dxa"/>
              <w:bottom w:w="57" w:type="dxa"/>
              <w:right w:w="57" w:type="dxa"/>
            </w:tcMar>
          </w:tcPr>
          <w:p w14:paraId="0E569B4E" w14:textId="270D416E" w:rsidR="005930D6" w:rsidRPr="004A35FC" w:rsidRDefault="005930D6" w:rsidP="005930D6">
            <w:pPr>
              <w:spacing w:after="0"/>
              <w:rPr>
                <w:noProof/>
                <w:sz w:val="20"/>
              </w:rPr>
            </w:pPr>
            <w:r w:rsidRPr="0047037F">
              <w:rPr>
                <w:noProof/>
                <w:sz w:val="20"/>
                <w:szCs w:val="20"/>
              </w:rPr>
              <w:t xml:space="preserve">Improved conditions for attracting private investment due to increased legal certainty, standardised </w:t>
            </w:r>
            <w:r w:rsidR="00031987">
              <w:rPr>
                <w:noProof/>
                <w:sz w:val="20"/>
                <w:szCs w:val="20"/>
              </w:rPr>
              <w:t xml:space="preserve">and digitalised </w:t>
            </w:r>
            <w:r w:rsidR="007A72CB">
              <w:rPr>
                <w:noProof/>
                <w:sz w:val="20"/>
                <w:szCs w:val="20"/>
              </w:rPr>
              <w:t>procedures</w:t>
            </w:r>
            <w:r w:rsidRPr="0047037F">
              <w:rPr>
                <w:noProof/>
                <w:sz w:val="20"/>
                <w:szCs w:val="20"/>
              </w:rPr>
              <w:t xml:space="preserve"> and enhanced cross-border scalability of companies. Quantification is not feasible due to the indirect and market-driven nature of investment decisions.</w:t>
            </w:r>
            <w:r w:rsidR="000F6F61">
              <w:rPr>
                <w:noProof/>
                <w:sz w:val="20"/>
                <w:szCs w:val="20"/>
              </w:rPr>
              <w:t xml:space="preserve"> </w:t>
            </w:r>
            <w:r w:rsidR="000F6F61" w:rsidRPr="00F141FB">
              <w:rPr>
                <w:noProof/>
                <w:sz w:val="20"/>
                <w:szCs w:val="20"/>
              </w:rPr>
              <w:t xml:space="preserve">See detailed description and motivation in Annex 4 </w:t>
            </w:r>
            <w:r w:rsidR="000F6F61">
              <w:rPr>
                <w:noProof/>
                <w:sz w:val="20"/>
                <w:szCs w:val="20"/>
              </w:rPr>
              <w:t>in</w:t>
            </w:r>
            <w:r w:rsidR="000F6F61" w:rsidRPr="00F141FB">
              <w:rPr>
                <w:noProof/>
                <w:sz w:val="20"/>
                <w:szCs w:val="20"/>
              </w:rPr>
              <w:t xml:space="preserve"> the sections on efficiency</w:t>
            </w:r>
            <w:r w:rsidR="000F6F61">
              <w:rPr>
                <w:noProof/>
                <w:sz w:val="20"/>
                <w:szCs w:val="20"/>
              </w:rPr>
              <w:t>.</w:t>
            </w:r>
          </w:p>
        </w:tc>
      </w:tr>
      <w:tr w:rsidR="005930D6" w:rsidRPr="00F92EAE" w14:paraId="5B0F19C5" w14:textId="77777777" w:rsidTr="00315B43">
        <w:tc>
          <w:tcPr>
            <w:tcW w:w="2512" w:type="dxa"/>
            <w:tcBorders>
              <w:bottom w:val="double" w:sz="4" w:space="0" w:color="auto"/>
            </w:tcBorders>
          </w:tcPr>
          <w:p w14:paraId="46494B69" w14:textId="13F188E0" w:rsidR="005930D6" w:rsidRPr="00D2270B" w:rsidRDefault="005930D6" w:rsidP="00BF260A">
            <w:pPr>
              <w:spacing w:after="0"/>
              <w:jc w:val="left"/>
              <w:rPr>
                <w:noProof/>
                <w:sz w:val="20"/>
              </w:rPr>
            </w:pPr>
            <w:r>
              <w:rPr>
                <w:noProof/>
                <w:sz w:val="20"/>
              </w:rPr>
              <w:t>Benefits for public authorities</w:t>
            </w:r>
          </w:p>
        </w:tc>
        <w:tc>
          <w:tcPr>
            <w:tcW w:w="4043" w:type="dxa"/>
            <w:tcBorders>
              <w:bottom w:val="double" w:sz="4" w:space="0" w:color="auto"/>
            </w:tcBorders>
            <w:tcMar>
              <w:top w:w="57" w:type="dxa"/>
              <w:left w:w="57" w:type="dxa"/>
              <w:bottom w:w="57" w:type="dxa"/>
              <w:right w:w="57" w:type="dxa"/>
            </w:tcMar>
          </w:tcPr>
          <w:p w14:paraId="04DEC3D4" w14:textId="3CF9A0A2" w:rsidR="005930D6" w:rsidRPr="00F92EAE" w:rsidRDefault="00944500" w:rsidP="0047037F">
            <w:pPr>
              <w:spacing w:after="0"/>
              <w:jc w:val="center"/>
              <w:rPr>
                <w:noProof/>
                <w:sz w:val="20"/>
              </w:rPr>
            </w:pPr>
            <w:r>
              <w:rPr>
                <w:noProof/>
                <w:sz w:val="20"/>
              </w:rPr>
              <w:t xml:space="preserve">No quantified </w:t>
            </w:r>
            <w:r w:rsidRPr="00944500">
              <w:rPr>
                <w:noProof/>
                <w:sz w:val="20"/>
              </w:rPr>
              <w:t>estimates available.</w:t>
            </w:r>
          </w:p>
        </w:tc>
        <w:tc>
          <w:tcPr>
            <w:tcW w:w="3651" w:type="dxa"/>
            <w:tcBorders>
              <w:bottom w:val="double" w:sz="4" w:space="0" w:color="auto"/>
            </w:tcBorders>
            <w:tcMar>
              <w:top w:w="57" w:type="dxa"/>
              <w:left w:w="57" w:type="dxa"/>
              <w:bottom w:w="57" w:type="dxa"/>
              <w:right w:w="57" w:type="dxa"/>
            </w:tcMar>
          </w:tcPr>
          <w:p w14:paraId="710B56D5" w14:textId="4E78A92E" w:rsidR="005930D6" w:rsidRPr="008F4A0B" w:rsidRDefault="005930D6" w:rsidP="005930D6">
            <w:pPr>
              <w:spacing w:after="0"/>
              <w:rPr>
                <w:noProof/>
                <w:sz w:val="20"/>
              </w:rPr>
            </w:pPr>
            <w:r w:rsidRPr="0047037F">
              <w:rPr>
                <w:noProof/>
                <w:sz w:val="20"/>
                <w:szCs w:val="20"/>
              </w:rPr>
              <w:t>Efficiency gains for public administrations resulting from reduced handling of duplicate company filings, increased reuse of company data and more streamlined digital procedures. Quantification is not feasible due to differences in national administrative arrangements and data availability.</w:t>
            </w:r>
            <w:r w:rsidR="000F6F61">
              <w:rPr>
                <w:noProof/>
                <w:sz w:val="20"/>
                <w:szCs w:val="20"/>
              </w:rPr>
              <w:t xml:space="preserve"> </w:t>
            </w:r>
            <w:r w:rsidR="000F6F61" w:rsidRPr="00F141FB">
              <w:rPr>
                <w:noProof/>
                <w:sz w:val="20"/>
                <w:szCs w:val="20"/>
              </w:rPr>
              <w:t xml:space="preserve">See detailed description and motivation in Annex 4 </w:t>
            </w:r>
            <w:r w:rsidR="000F6F61">
              <w:rPr>
                <w:noProof/>
                <w:sz w:val="20"/>
                <w:szCs w:val="20"/>
              </w:rPr>
              <w:t>in</w:t>
            </w:r>
            <w:r w:rsidR="000F6F61" w:rsidRPr="00F141FB">
              <w:rPr>
                <w:noProof/>
                <w:sz w:val="20"/>
                <w:szCs w:val="20"/>
              </w:rPr>
              <w:t xml:space="preserve"> the sections on efficiency</w:t>
            </w:r>
            <w:r w:rsidR="000F6F61">
              <w:rPr>
                <w:noProof/>
                <w:sz w:val="20"/>
                <w:szCs w:val="20"/>
              </w:rPr>
              <w:t>.</w:t>
            </w:r>
          </w:p>
        </w:tc>
      </w:tr>
      <w:tr w:rsidR="005930D6" w:rsidRPr="00F92EAE" w14:paraId="3FD7E739" w14:textId="77777777" w:rsidTr="00315B43">
        <w:tc>
          <w:tcPr>
            <w:tcW w:w="10206" w:type="dxa"/>
            <w:gridSpan w:val="3"/>
            <w:shd w:val="clear" w:color="auto" w:fill="F2F2F2" w:themeFill="background1" w:themeFillShade="F2"/>
          </w:tcPr>
          <w:p w14:paraId="4AD3F12B" w14:textId="77777777" w:rsidR="005930D6" w:rsidRPr="00F92EAE" w:rsidRDefault="005930D6" w:rsidP="005930D6">
            <w:pPr>
              <w:spacing w:after="0"/>
              <w:jc w:val="center"/>
              <w:rPr>
                <w:b/>
                <w:i/>
                <w:noProof/>
                <w:sz w:val="20"/>
              </w:rPr>
            </w:pPr>
            <w:r w:rsidRPr="00F92EAE">
              <w:rPr>
                <w:b/>
                <w:i/>
                <w:noProof/>
                <w:sz w:val="20"/>
              </w:rPr>
              <w:t>Indirect benefits</w:t>
            </w:r>
          </w:p>
        </w:tc>
      </w:tr>
      <w:tr w:rsidR="005930D6" w:rsidRPr="00F92EAE" w14:paraId="0B293CCE" w14:textId="77777777" w:rsidTr="00315B43">
        <w:tc>
          <w:tcPr>
            <w:tcW w:w="2512" w:type="dxa"/>
            <w:tcBorders>
              <w:top w:val="double" w:sz="4" w:space="0" w:color="auto"/>
            </w:tcBorders>
          </w:tcPr>
          <w:p w14:paraId="58CE3F10" w14:textId="1FCBD323" w:rsidR="005930D6" w:rsidRPr="00F92EAE" w:rsidRDefault="005930D6" w:rsidP="005930D6">
            <w:pPr>
              <w:spacing w:after="0"/>
              <w:rPr>
                <w:noProof/>
                <w:sz w:val="20"/>
                <w:szCs w:val="20"/>
              </w:rPr>
            </w:pPr>
            <w:r w:rsidRPr="008309B8">
              <w:rPr>
                <w:noProof/>
                <w:sz w:val="20"/>
              </w:rPr>
              <w:t>Improved functioning of the internal market and competitiveness</w:t>
            </w:r>
            <w:r w:rsidRPr="008309B8">
              <w:rPr>
                <w:noProof/>
                <w:sz w:val="20"/>
              </w:rPr>
              <w:tab/>
            </w:r>
            <w:r w:rsidRPr="008309B8">
              <w:rPr>
                <w:noProof/>
                <w:sz w:val="20"/>
              </w:rPr>
              <w:tab/>
            </w:r>
          </w:p>
        </w:tc>
        <w:tc>
          <w:tcPr>
            <w:tcW w:w="4043" w:type="dxa"/>
            <w:tcBorders>
              <w:top w:val="double" w:sz="4" w:space="0" w:color="auto"/>
            </w:tcBorders>
            <w:tcMar>
              <w:top w:w="57" w:type="dxa"/>
              <w:left w:w="57" w:type="dxa"/>
              <w:bottom w:w="57" w:type="dxa"/>
              <w:right w:w="57" w:type="dxa"/>
            </w:tcMar>
          </w:tcPr>
          <w:p w14:paraId="7B561BFB" w14:textId="3DB5BF15" w:rsidR="005930D6" w:rsidRPr="00F92EAE" w:rsidRDefault="00944500" w:rsidP="005930D6">
            <w:pPr>
              <w:spacing w:after="0"/>
              <w:rPr>
                <w:noProof/>
                <w:sz w:val="20"/>
              </w:rPr>
            </w:pPr>
            <w:r>
              <w:rPr>
                <w:noProof/>
                <w:sz w:val="20"/>
              </w:rPr>
              <w:t xml:space="preserve">No quantified </w:t>
            </w:r>
            <w:r w:rsidRPr="00944500">
              <w:rPr>
                <w:noProof/>
                <w:sz w:val="20"/>
              </w:rPr>
              <w:t>estimates available.</w:t>
            </w:r>
            <w:r>
              <w:rPr>
                <w:noProof/>
                <w:sz w:val="20"/>
              </w:rPr>
              <w:t xml:space="preserve"> </w:t>
            </w:r>
            <w:r w:rsidR="0058102E">
              <w:rPr>
                <w:noProof/>
                <w:sz w:val="20"/>
              </w:rPr>
              <w:t>H</w:t>
            </w:r>
            <w:r w:rsidR="005930D6" w:rsidRPr="008309B8">
              <w:rPr>
                <w:noProof/>
                <w:sz w:val="20"/>
              </w:rPr>
              <w:t>owever</w:t>
            </w:r>
            <w:r w:rsidR="0058102E">
              <w:rPr>
                <w:noProof/>
                <w:sz w:val="20"/>
              </w:rPr>
              <w:t xml:space="preserve">, the up take of </w:t>
            </w:r>
            <w:r w:rsidR="004B0C37">
              <w:rPr>
                <w:noProof/>
                <w:sz w:val="20"/>
              </w:rPr>
              <w:t>28</w:t>
            </w:r>
            <w:r w:rsidR="004B0C37" w:rsidRPr="00EA012F">
              <w:rPr>
                <w:noProof/>
                <w:sz w:val="20"/>
                <w:vertAlign w:val="superscript"/>
              </w:rPr>
              <w:t>th</w:t>
            </w:r>
            <w:r w:rsidR="004B0C37">
              <w:rPr>
                <w:noProof/>
                <w:sz w:val="20"/>
              </w:rPr>
              <w:t xml:space="preserve"> regime company </w:t>
            </w:r>
            <w:r w:rsidR="00207885">
              <w:rPr>
                <w:noProof/>
                <w:sz w:val="20"/>
              </w:rPr>
              <w:t>is</w:t>
            </w:r>
            <w:r w:rsidR="005930D6" w:rsidRPr="008309B8">
              <w:rPr>
                <w:noProof/>
                <w:sz w:val="20"/>
              </w:rPr>
              <w:t xml:space="preserve"> assessed </w:t>
            </w:r>
            <w:r w:rsidR="00207885">
              <w:rPr>
                <w:noProof/>
                <w:sz w:val="20"/>
              </w:rPr>
              <w:t xml:space="preserve">and it is </w:t>
            </w:r>
            <w:r w:rsidR="00491D1A">
              <w:rPr>
                <w:noProof/>
                <w:sz w:val="20"/>
              </w:rPr>
              <w:t>estimated</w:t>
            </w:r>
            <w:r w:rsidR="00207885">
              <w:rPr>
                <w:noProof/>
                <w:sz w:val="20"/>
              </w:rPr>
              <w:t xml:space="preserve"> </w:t>
            </w:r>
            <w:r w:rsidR="005930D6" w:rsidRPr="008309B8">
              <w:rPr>
                <w:noProof/>
                <w:sz w:val="20"/>
              </w:rPr>
              <w:t xml:space="preserve">that over </w:t>
            </w:r>
            <w:r w:rsidR="00207885">
              <w:rPr>
                <w:noProof/>
                <w:sz w:val="20"/>
              </w:rPr>
              <w:t xml:space="preserve">10 years </w:t>
            </w:r>
            <w:r w:rsidR="005930D6" w:rsidRPr="008309B8">
              <w:rPr>
                <w:noProof/>
                <w:sz w:val="20"/>
              </w:rPr>
              <w:t>the number of new 28</w:t>
            </w:r>
            <w:r w:rsidR="005930D6" w:rsidRPr="007619BF">
              <w:rPr>
                <w:noProof/>
                <w:sz w:val="20"/>
                <w:vertAlign w:val="superscript"/>
              </w:rPr>
              <w:t>th</w:t>
            </w:r>
            <w:r w:rsidR="005930D6" w:rsidRPr="008309B8">
              <w:rPr>
                <w:noProof/>
                <w:sz w:val="20"/>
              </w:rPr>
              <w:t xml:space="preserve"> regime </w:t>
            </w:r>
            <w:r w:rsidR="00491D1A">
              <w:rPr>
                <w:noProof/>
                <w:sz w:val="20"/>
              </w:rPr>
              <w:t xml:space="preserve">companies </w:t>
            </w:r>
            <w:r w:rsidR="00E17FE4">
              <w:rPr>
                <w:noProof/>
                <w:sz w:val="20"/>
              </w:rPr>
              <w:t xml:space="preserve">will </w:t>
            </w:r>
            <w:r w:rsidR="00A33B81">
              <w:rPr>
                <w:noProof/>
                <w:sz w:val="20"/>
              </w:rPr>
              <w:t>surpass</w:t>
            </w:r>
            <w:r w:rsidR="005930D6" w:rsidRPr="008309B8">
              <w:rPr>
                <w:noProof/>
                <w:sz w:val="20"/>
              </w:rPr>
              <w:t xml:space="preserve"> </w:t>
            </w:r>
            <w:r w:rsidR="005930D6">
              <w:rPr>
                <w:noProof/>
                <w:sz w:val="20"/>
              </w:rPr>
              <w:t>300</w:t>
            </w:r>
            <w:r w:rsidR="00263805">
              <w:rPr>
                <w:noProof/>
                <w:sz w:val="20"/>
              </w:rPr>
              <w:t> </w:t>
            </w:r>
            <w:r w:rsidR="005930D6">
              <w:rPr>
                <w:noProof/>
                <w:sz w:val="20"/>
              </w:rPr>
              <w:t>000</w:t>
            </w:r>
            <w:r w:rsidR="005930D6" w:rsidRPr="008309B8">
              <w:rPr>
                <w:noProof/>
                <w:sz w:val="20"/>
              </w:rPr>
              <w:t>.</w:t>
            </w:r>
          </w:p>
        </w:tc>
        <w:tc>
          <w:tcPr>
            <w:tcW w:w="3651" w:type="dxa"/>
            <w:tcBorders>
              <w:top w:val="double" w:sz="4" w:space="0" w:color="auto"/>
            </w:tcBorders>
            <w:tcMar>
              <w:top w:w="57" w:type="dxa"/>
              <w:left w:w="57" w:type="dxa"/>
              <w:bottom w:w="57" w:type="dxa"/>
              <w:right w:w="57" w:type="dxa"/>
            </w:tcMar>
          </w:tcPr>
          <w:p w14:paraId="317C5DDA" w14:textId="104D1388" w:rsidR="005930D6" w:rsidRPr="00F92EAE" w:rsidRDefault="005930D6" w:rsidP="005930D6">
            <w:pPr>
              <w:spacing w:after="0"/>
              <w:rPr>
                <w:noProof/>
                <w:sz w:val="20"/>
              </w:rPr>
            </w:pPr>
            <w:r w:rsidRPr="008309B8">
              <w:rPr>
                <w:noProof/>
                <w:sz w:val="20"/>
              </w:rPr>
              <w:t>Reduced fragmentation of company law and lower barriers to cross-border establishment and scaling-up contribute to improved functioning of the Single Market and enhanced EU competitiveness. These impacts are expected to materialise gradually and are not amenable to robust quantification</w:t>
            </w:r>
            <w:r w:rsidR="00C1205A">
              <w:rPr>
                <w:noProof/>
                <w:sz w:val="20"/>
              </w:rPr>
              <w:t>.</w:t>
            </w:r>
            <w:r w:rsidR="000F6F61">
              <w:rPr>
                <w:noProof/>
                <w:sz w:val="20"/>
              </w:rPr>
              <w:t xml:space="preserve"> </w:t>
            </w:r>
            <w:r w:rsidR="000F6F61" w:rsidRPr="00F141FB">
              <w:rPr>
                <w:noProof/>
                <w:sz w:val="20"/>
                <w:szCs w:val="20"/>
              </w:rPr>
              <w:t xml:space="preserve">See detailed description and motivation in Annex 4 </w:t>
            </w:r>
            <w:r w:rsidR="000F6F61">
              <w:rPr>
                <w:noProof/>
                <w:sz w:val="20"/>
                <w:szCs w:val="20"/>
              </w:rPr>
              <w:t>in</w:t>
            </w:r>
            <w:r w:rsidR="000F6F61" w:rsidRPr="00F141FB">
              <w:rPr>
                <w:noProof/>
                <w:sz w:val="20"/>
                <w:szCs w:val="20"/>
              </w:rPr>
              <w:t xml:space="preserve"> the sections on efficiency</w:t>
            </w:r>
            <w:r w:rsidR="000F6F61">
              <w:rPr>
                <w:noProof/>
                <w:sz w:val="20"/>
                <w:szCs w:val="20"/>
              </w:rPr>
              <w:t>.</w:t>
            </w:r>
          </w:p>
        </w:tc>
      </w:tr>
    </w:tbl>
    <w:p w14:paraId="3FB17E4F" w14:textId="77777777" w:rsidR="00801268" w:rsidRDefault="00801268" w:rsidP="000E3086">
      <w:pPr>
        <w:rPr>
          <w:noProof/>
        </w:rPr>
      </w:pPr>
    </w:p>
    <w:tbl>
      <w:tblPr>
        <w:tblStyle w:val="CV11"/>
        <w:tblW w:w="10206"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972"/>
        <w:gridCol w:w="1296"/>
        <w:gridCol w:w="2268"/>
        <w:gridCol w:w="1134"/>
        <w:gridCol w:w="2835"/>
        <w:gridCol w:w="1701"/>
      </w:tblGrid>
      <w:tr w:rsidR="00D605FF" w:rsidRPr="00F92EAE" w14:paraId="2754D2CB" w14:textId="77777777" w:rsidTr="00D605FF">
        <w:tc>
          <w:tcPr>
            <w:tcW w:w="10206" w:type="dxa"/>
            <w:gridSpan w:val="6"/>
            <w:shd w:val="clear" w:color="auto" w:fill="C6D9F1" w:themeFill="text2" w:themeFillTint="33"/>
          </w:tcPr>
          <w:p w14:paraId="0F82C88F" w14:textId="77777777" w:rsidR="00D605FF" w:rsidRPr="00F92EAE" w:rsidRDefault="00D605FF" w:rsidP="009D4C15">
            <w:pPr>
              <w:spacing w:after="0"/>
              <w:rPr>
                <w:b/>
                <w:noProof/>
                <w:sz w:val="20"/>
                <w:szCs w:val="20"/>
              </w:rPr>
            </w:pPr>
            <w:r w:rsidRPr="00F92EAE">
              <w:rPr>
                <w:b/>
                <w:noProof/>
                <w:sz w:val="20"/>
                <w:szCs w:val="20"/>
              </w:rPr>
              <w:t>II. Overview of costs – Preferred option</w:t>
            </w:r>
          </w:p>
        </w:tc>
      </w:tr>
      <w:tr w:rsidR="00894730" w:rsidRPr="00F92EAE" w14:paraId="5657FA00" w14:textId="77777777" w:rsidTr="00D51FB3">
        <w:tc>
          <w:tcPr>
            <w:tcW w:w="2268" w:type="dxa"/>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7C277C1A" w14:textId="77777777" w:rsidR="00D605FF" w:rsidRPr="00F92EAE" w:rsidRDefault="00D605FF" w:rsidP="009D4C15">
            <w:pPr>
              <w:spacing w:after="0"/>
              <w:rPr>
                <w:b/>
                <w:noProof/>
                <w:sz w:val="20"/>
                <w:szCs w:val="20"/>
              </w:rPr>
            </w:pPr>
          </w:p>
        </w:tc>
        <w:tc>
          <w:tcPr>
            <w:tcW w:w="3402" w:type="dxa"/>
            <w:gridSpan w:val="2"/>
            <w:tcMar>
              <w:top w:w="57" w:type="dxa"/>
              <w:left w:w="57" w:type="dxa"/>
              <w:bottom w:w="57" w:type="dxa"/>
              <w:right w:w="57" w:type="dxa"/>
            </w:tcMar>
          </w:tcPr>
          <w:p w14:paraId="154C7C3A" w14:textId="77777777" w:rsidR="00D605FF" w:rsidRPr="00F92EAE" w:rsidRDefault="00D605FF" w:rsidP="009D4C15">
            <w:pPr>
              <w:spacing w:after="0"/>
              <w:jc w:val="center"/>
              <w:rPr>
                <w:b/>
                <w:noProof/>
                <w:sz w:val="20"/>
                <w:szCs w:val="20"/>
              </w:rPr>
            </w:pPr>
            <w:r w:rsidRPr="00F92EAE">
              <w:rPr>
                <w:b/>
                <w:noProof/>
                <w:sz w:val="20"/>
                <w:szCs w:val="20"/>
              </w:rPr>
              <w:t>Businesses</w:t>
            </w:r>
          </w:p>
        </w:tc>
        <w:tc>
          <w:tcPr>
            <w:tcW w:w="4536" w:type="dxa"/>
            <w:gridSpan w:val="2"/>
            <w:tcMar>
              <w:top w:w="57" w:type="dxa"/>
              <w:left w:w="57" w:type="dxa"/>
              <w:bottom w:w="57" w:type="dxa"/>
              <w:right w:w="57" w:type="dxa"/>
            </w:tcMar>
          </w:tcPr>
          <w:p w14:paraId="3246848E" w14:textId="77777777" w:rsidR="00D605FF" w:rsidRPr="00F92EAE" w:rsidRDefault="00D605FF" w:rsidP="009D4C15">
            <w:pPr>
              <w:spacing w:after="0"/>
              <w:jc w:val="center"/>
              <w:rPr>
                <w:b/>
                <w:noProof/>
                <w:sz w:val="20"/>
                <w:szCs w:val="20"/>
              </w:rPr>
            </w:pPr>
            <w:r w:rsidRPr="00F92EAE">
              <w:rPr>
                <w:b/>
                <w:noProof/>
                <w:sz w:val="20"/>
                <w:szCs w:val="20"/>
              </w:rPr>
              <w:t>Administrations</w:t>
            </w:r>
          </w:p>
        </w:tc>
      </w:tr>
      <w:tr w:rsidR="00894730" w:rsidRPr="00F92EAE" w14:paraId="5E98ABF8" w14:textId="77777777" w:rsidTr="00AA6F02">
        <w:tc>
          <w:tcPr>
            <w:tcW w:w="2268" w:type="dxa"/>
            <w:gridSpan w:val="2"/>
            <w:vMerge/>
            <w:tcBorders>
              <w:bottom w:val="double" w:sz="4" w:space="0" w:color="auto"/>
              <w:right w:val="double" w:sz="4" w:space="0" w:color="auto"/>
              <w:tl2br w:val="double" w:sz="4" w:space="0" w:color="auto"/>
            </w:tcBorders>
            <w:tcMar>
              <w:top w:w="57" w:type="dxa"/>
              <w:left w:w="57" w:type="dxa"/>
              <w:bottom w:w="57" w:type="dxa"/>
              <w:right w:w="57" w:type="dxa"/>
            </w:tcMar>
          </w:tcPr>
          <w:p w14:paraId="081EB79B" w14:textId="77777777" w:rsidR="00D605FF" w:rsidRPr="00F92EAE" w:rsidRDefault="00D605FF" w:rsidP="009D4C15">
            <w:pPr>
              <w:spacing w:after="0"/>
              <w:rPr>
                <w:b/>
                <w:noProof/>
                <w:sz w:val="20"/>
                <w:szCs w:val="20"/>
              </w:rPr>
            </w:pPr>
          </w:p>
        </w:tc>
        <w:tc>
          <w:tcPr>
            <w:tcW w:w="2268" w:type="dxa"/>
            <w:tcBorders>
              <w:bottom w:val="double" w:sz="4" w:space="0" w:color="auto"/>
            </w:tcBorders>
            <w:tcMar>
              <w:top w:w="57" w:type="dxa"/>
              <w:left w:w="57" w:type="dxa"/>
              <w:bottom w:w="57" w:type="dxa"/>
              <w:right w:w="57" w:type="dxa"/>
            </w:tcMar>
          </w:tcPr>
          <w:p w14:paraId="3108BEA3" w14:textId="0EECF131" w:rsidR="00D605FF" w:rsidRPr="00F92EAE" w:rsidRDefault="00D605FF" w:rsidP="009D4C15">
            <w:pPr>
              <w:spacing w:after="0"/>
              <w:jc w:val="center"/>
              <w:rPr>
                <w:b/>
                <w:noProof/>
                <w:sz w:val="20"/>
                <w:szCs w:val="20"/>
              </w:rPr>
            </w:pPr>
            <w:r w:rsidRPr="00F92EAE">
              <w:rPr>
                <w:b/>
                <w:noProof/>
                <w:sz w:val="20"/>
                <w:szCs w:val="20"/>
              </w:rPr>
              <w:t>One-off</w:t>
            </w:r>
          </w:p>
        </w:tc>
        <w:tc>
          <w:tcPr>
            <w:tcW w:w="1134" w:type="dxa"/>
            <w:tcBorders>
              <w:bottom w:val="double" w:sz="4" w:space="0" w:color="auto"/>
            </w:tcBorders>
            <w:tcMar>
              <w:top w:w="57" w:type="dxa"/>
              <w:left w:w="57" w:type="dxa"/>
              <w:bottom w:w="57" w:type="dxa"/>
              <w:right w:w="57" w:type="dxa"/>
            </w:tcMar>
          </w:tcPr>
          <w:p w14:paraId="37862F29" w14:textId="77777777" w:rsidR="00D605FF" w:rsidRPr="00F92EAE" w:rsidRDefault="00D605FF" w:rsidP="009D4C15">
            <w:pPr>
              <w:spacing w:after="0"/>
              <w:jc w:val="center"/>
              <w:rPr>
                <w:b/>
                <w:noProof/>
                <w:sz w:val="20"/>
                <w:szCs w:val="20"/>
              </w:rPr>
            </w:pPr>
            <w:r w:rsidRPr="00F92EAE">
              <w:rPr>
                <w:b/>
                <w:noProof/>
                <w:sz w:val="20"/>
                <w:szCs w:val="20"/>
              </w:rPr>
              <w:t>Recurrent</w:t>
            </w:r>
          </w:p>
        </w:tc>
        <w:tc>
          <w:tcPr>
            <w:tcW w:w="2835" w:type="dxa"/>
            <w:tcBorders>
              <w:bottom w:val="double" w:sz="4" w:space="0" w:color="auto"/>
            </w:tcBorders>
            <w:tcMar>
              <w:top w:w="57" w:type="dxa"/>
              <w:left w:w="57" w:type="dxa"/>
              <w:bottom w:w="57" w:type="dxa"/>
              <w:right w:w="57" w:type="dxa"/>
            </w:tcMar>
          </w:tcPr>
          <w:p w14:paraId="31CBF75C" w14:textId="32ED8D44" w:rsidR="00D605FF" w:rsidRPr="00F92EAE" w:rsidRDefault="00D605FF" w:rsidP="009D4C15">
            <w:pPr>
              <w:spacing w:after="0"/>
              <w:jc w:val="center"/>
              <w:rPr>
                <w:b/>
                <w:noProof/>
                <w:sz w:val="20"/>
                <w:szCs w:val="20"/>
              </w:rPr>
            </w:pPr>
            <w:r w:rsidRPr="00F92EAE">
              <w:rPr>
                <w:b/>
                <w:noProof/>
                <w:sz w:val="20"/>
                <w:szCs w:val="20"/>
              </w:rPr>
              <w:t>One-off</w:t>
            </w:r>
          </w:p>
        </w:tc>
        <w:tc>
          <w:tcPr>
            <w:tcW w:w="1701" w:type="dxa"/>
            <w:tcBorders>
              <w:bottom w:val="double" w:sz="4" w:space="0" w:color="auto"/>
            </w:tcBorders>
            <w:tcMar>
              <w:top w:w="57" w:type="dxa"/>
              <w:left w:w="57" w:type="dxa"/>
              <w:bottom w:w="57" w:type="dxa"/>
              <w:right w:w="57" w:type="dxa"/>
            </w:tcMar>
          </w:tcPr>
          <w:p w14:paraId="78DD587D" w14:textId="77777777" w:rsidR="00D605FF" w:rsidRPr="00F92EAE" w:rsidRDefault="00D605FF" w:rsidP="009D4C15">
            <w:pPr>
              <w:spacing w:after="0"/>
              <w:jc w:val="center"/>
              <w:rPr>
                <w:b/>
                <w:noProof/>
                <w:sz w:val="20"/>
                <w:szCs w:val="20"/>
              </w:rPr>
            </w:pPr>
            <w:r w:rsidRPr="00F92EAE">
              <w:rPr>
                <w:b/>
                <w:noProof/>
                <w:sz w:val="20"/>
                <w:szCs w:val="20"/>
              </w:rPr>
              <w:t>Recurrent</w:t>
            </w:r>
          </w:p>
        </w:tc>
      </w:tr>
      <w:tr w:rsidR="00D605FF" w:rsidRPr="00F92EAE" w14:paraId="09A2C7EC" w14:textId="77777777" w:rsidTr="00AA6F02">
        <w:trPr>
          <w:trHeight w:val="940"/>
        </w:trPr>
        <w:tc>
          <w:tcPr>
            <w:tcW w:w="972" w:type="dxa"/>
            <w:tcMar>
              <w:top w:w="57" w:type="dxa"/>
              <w:left w:w="57" w:type="dxa"/>
              <w:bottom w:w="57" w:type="dxa"/>
              <w:right w:w="57" w:type="dxa"/>
            </w:tcMar>
            <w:vAlign w:val="center"/>
          </w:tcPr>
          <w:p w14:paraId="220A2CFA" w14:textId="1DE3BCE4" w:rsidR="00D605FF" w:rsidRPr="00F92EAE" w:rsidRDefault="00D605FF" w:rsidP="001268B0">
            <w:pPr>
              <w:spacing w:after="0"/>
              <w:rPr>
                <w:noProof/>
                <w:sz w:val="20"/>
                <w:szCs w:val="20"/>
              </w:rPr>
            </w:pPr>
            <w:r>
              <w:rPr>
                <w:noProof/>
                <w:sz w:val="20"/>
                <w:szCs w:val="20"/>
              </w:rPr>
              <w:t>PO1</w:t>
            </w:r>
            <w:r w:rsidR="00171012">
              <w:rPr>
                <w:noProof/>
                <w:sz w:val="20"/>
                <w:szCs w:val="20"/>
              </w:rPr>
              <w:t>c</w:t>
            </w:r>
            <w:r w:rsidRPr="00F92EAE">
              <w:rPr>
                <w:noProof/>
                <w:sz w:val="20"/>
                <w:szCs w:val="20"/>
              </w:rPr>
              <w:t xml:space="preserve"> </w:t>
            </w:r>
          </w:p>
        </w:tc>
        <w:tc>
          <w:tcPr>
            <w:tcW w:w="1296" w:type="dxa"/>
            <w:tcBorders>
              <w:right w:val="double" w:sz="4" w:space="0" w:color="auto"/>
            </w:tcBorders>
            <w:tcMar>
              <w:top w:w="57" w:type="dxa"/>
              <w:left w:w="57" w:type="dxa"/>
              <w:bottom w:w="57" w:type="dxa"/>
              <w:right w:w="57" w:type="dxa"/>
            </w:tcMar>
            <w:vAlign w:val="center"/>
          </w:tcPr>
          <w:p w14:paraId="7B6C2B2A" w14:textId="6C5936C3" w:rsidR="00D605FF" w:rsidRPr="00F92EAE" w:rsidRDefault="00D605FF" w:rsidP="001268B0">
            <w:pPr>
              <w:spacing w:after="0"/>
              <w:jc w:val="left"/>
              <w:rPr>
                <w:noProof/>
                <w:sz w:val="20"/>
                <w:szCs w:val="20"/>
              </w:rPr>
            </w:pPr>
            <w:r w:rsidRPr="00F92EAE">
              <w:rPr>
                <w:noProof/>
                <w:sz w:val="20"/>
                <w:szCs w:val="20"/>
              </w:rPr>
              <w:t>Direct adjustment</w:t>
            </w:r>
            <w:r w:rsidR="000E2B2B">
              <w:rPr>
                <w:noProof/>
                <w:sz w:val="20"/>
                <w:szCs w:val="20"/>
              </w:rPr>
              <w:t>/</w:t>
            </w:r>
            <w:r w:rsidR="000E2B2B" w:rsidRPr="00F92EAE">
              <w:rPr>
                <w:noProof/>
                <w:sz w:val="20"/>
                <w:szCs w:val="20"/>
              </w:rPr>
              <w:t xml:space="preserve"> administrative</w:t>
            </w:r>
            <w:r w:rsidRPr="00F92EAE">
              <w:rPr>
                <w:noProof/>
                <w:sz w:val="20"/>
                <w:szCs w:val="20"/>
              </w:rPr>
              <w:t xml:space="preserve"> costs</w:t>
            </w:r>
          </w:p>
        </w:tc>
        <w:tc>
          <w:tcPr>
            <w:tcW w:w="2268" w:type="dxa"/>
            <w:tcMar>
              <w:top w:w="57" w:type="dxa"/>
              <w:left w:w="57" w:type="dxa"/>
              <w:bottom w:w="57" w:type="dxa"/>
              <w:right w:w="57" w:type="dxa"/>
            </w:tcMar>
            <w:vAlign w:val="center"/>
          </w:tcPr>
          <w:p w14:paraId="343C9836" w14:textId="593DBCBD" w:rsidR="00D605FF" w:rsidRPr="00F92EAE" w:rsidRDefault="000260DE" w:rsidP="00DF04DA">
            <w:pPr>
              <w:spacing w:after="0"/>
              <w:jc w:val="center"/>
              <w:rPr>
                <w:noProof/>
                <w:sz w:val="20"/>
                <w:szCs w:val="20"/>
              </w:rPr>
            </w:pPr>
            <w:r>
              <w:rPr>
                <w:noProof/>
                <w:sz w:val="20"/>
                <w:szCs w:val="20"/>
              </w:rPr>
              <w:t>limited</w:t>
            </w:r>
          </w:p>
        </w:tc>
        <w:tc>
          <w:tcPr>
            <w:tcW w:w="1134" w:type="dxa"/>
            <w:tcMar>
              <w:top w:w="57" w:type="dxa"/>
              <w:left w:w="57" w:type="dxa"/>
              <w:bottom w:w="57" w:type="dxa"/>
              <w:right w:w="57" w:type="dxa"/>
            </w:tcMar>
            <w:vAlign w:val="center"/>
          </w:tcPr>
          <w:p w14:paraId="13A81F7E" w14:textId="0B3F44B5" w:rsidR="00D605FF" w:rsidRPr="00F92EAE" w:rsidRDefault="008B4E47" w:rsidP="002C0E8B">
            <w:pPr>
              <w:spacing w:after="0"/>
              <w:jc w:val="center"/>
              <w:rPr>
                <w:noProof/>
                <w:sz w:val="20"/>
                <w:szCs w:val="20"/>
              </w:rPr>
            </w:pPr>
            <w:r>
              <w:rPr>
                <w:noProof/>
                <w:sz w:val="20"/>
                <w:szCs w:val="20"/>
              </w:rPr>
              <w:t>-</w:t>
            </w:r>
          </w:p>
        </w:tc>
        <w:tc>
          <w:tcPr>
            <w:tcW w:w="2835" w:type="dxa"/>
            <w:tcMar>
              <w:top w:w="57" w:type="dxa"/>
              <w:left w:w="57" w:type="dxa"/>
              <w:bottom w:w="57" w:type="dxa"/>
              <w:right w:w="57" w:type="dxa"/>
            </w:tcMar>
            <w:vAlign w:val="center"/>
          </w:tcPr>
          <w:p w14:paraId="33CCF061" w14:textId="47A0EF08" w:rsidR="00D605FF" w:rsidRPr="00F92EAE" w:rsidRDefault="00D605FF" w:rsidP="002C0E8B">
            <w:pPr>
              <w:spacing w:after="0"/>
              <w:jc w:val="center"/>
              <w:rPr>
                <w:noProof/>
                <w:sz w:val="20"/>
                <w:szCs w:val="20"/>
              </w:rPr>
            </w:pPr>
            <w:r>
              <w:rPr>
                <w:noProof/>
                <w:sz w:val="20"/>
                <w:szCs w:val="20"/>
              </w:rPr>
              <w:t>limited</w:t>
            </w:r>
          </w:p>
        </w:tc>
        <w:tc>
          <w:tcPr>
            <w:tcW w:w="1701" w:type="dxa"/>
            <w:tcMar>
              <w:top w:w="57" w:type="dxa"/>
              <w:left w:w="57" w:type="dxa"/>
              <w:bottom w:w="57" w:type="dxa"/>
              <w:right w:w="57" w:type="dxa"/>
            </w:tcMar>
            <w:vAlign w:val="center"/>
          </w:tcPr>
          <w:p w14:paraId="582E7747" w14:textId="0C3F0046" w:rsidR="00D605FF" w:rsidRPr="00F92EAE" w:rsidRDefault="008B4E47" w:rsidP="002C0E8B">
            <w:pPr>
              <w:spacing w:after="0"/>
              <w:jc w:val="center"/>
              <w:rPr>
                <w:noProof/>
                <w:sz w:val="20"/>
                <w:szCs w:val="20"/>
              </w:rPr>
            </w:pPr>
            <w:r>
              <w:rPr>
                <w:noProof/>
                <w:sz w:val="20"/>
                <w:szCs w:val="20"/>
              </w:rPr>
              <w:t>-</w:t>
            </w:r>
          </w:p>
        </w:tc>
      </w:tr>
      <w:tr w:rsidR="00D605FF" w:rsidRPr="00F92EAE" w14:paraId="24DED227" w14:textId="77777777" w:rsidTr="00AA6F02">
        <w:trPr>
          <w:trHeight w:val="1400"/>
        </w:trPr>
        <w:tc>
          <w:tcPr>
            <w:tcW w:w="972" w:type="dxa"/>
            <w:tcMar>
              <w:top w:w="57" w:type="dxa"/>
              <w:left w:w="57" w:type="dxa"/>
              <w:bottom w:w="57" w:type="dxa"/>
              <w:right w:w="57" w:type="dxa"/>
            </w:tcMar>
            <w:vAlign w:val="center"/>
          </w:tcPr>
          <w:p w14:paraId="4186BDEC" w14:textId="48C002F1" w:rsidR="00D605FF" w:rsidRPr="00F92EAE" w:rsidRDefault="00D605FF" w:rsidP="0099536E">
            <w:pPr>
              <w:spacing w:after="0"/>
              <w:rPr>
                <w:noProof/>
                <w:sz w:val="20"/>
                <w:szCs w:val="20"/>
              </w:rPr>
            </w:pPr>
            <w:r>
              <w:rPr>
                <w:noProof/>
                <w:sz w:val="20"/>
                <w:szCs w:val="20"/>
              </w:rPr>
              <w:t>PO2b</w:t>
            </w:r>
            <w:r w:rsidRPr="00F92EAE">
              <w:rPr>
                <w:noProof/>
                <w:sz w:val="20"/>
                <w:szCs w:val="20"/>
              </w:rPr>
              <w:t xml:space="preserve">  </w:t>
            </w:r>
          </w:p>
        </w:tc>
        <w:tc>
          <w:tcPr>
            <w:tcW w:w="1296" w:type="dxa"/>
            <w:tcBorders>
              <w:right w:val="double" w:sz="4" w:space="0" w:color="auto"/>
            </w:tcBorders>
            <w:tcMar>
              <w:top w:w="57" w:type="dxa"/>
              <w:left w:w="57" w:type="dxa"/>
              <w:bottom w:w="57" w:type="dxa"/>
              <w:right w:w="57" w:type="dxa"/>
            </w:tcMar>
            <w:vAlign w:val="center"/>
          </w:tcPr>
          <w:p w14:paraId="6930CE5D" w14:textId="09016472" w:rsidR="00D605FF" w:rsidRPr="00F92EAE" w:rsidRDefault="00D605FF" w:rsidP="0099536E">
            <w:pPr>
              <w:spacing w:after="0"/>
              <w:jc w:val="left"/>
              <w:rPr>
                <w:noProof/>
                <w:sz w:val="20"/>
                <w:szCs w:val="20"/>
              </w:rPr>
            </w:pPr>
            <w:r w:rsidRPr="00F92EAE">
              <w:rPr>
                <w:noProof/>
                <w:sz w:val="20"/>
                <w:szCs w:val="20"/>
              </w:rPr>
              <w:t>Direct adjustment</w:t>
            </w:r>
            <w:r w:rsidR="001F7A08">
              <w:rPr>
                <w:noProof/>
                <w:sz w:val="20"/>
                <w:szCs w:val="20"/>
              </w:rPr>
              <w:t>/</w:t>
            </w:r>
            <w:r w:rsidR="001F7A08" w:rsidRPr="00F92EAE">
              <w:rPr>
                <w:noProof/>
                <w:sz w:val="20"/>
                <w:szCs w:val="20"/>
              </w:rPr>
              <w:t xml:space="preserve"> administrative</w:t>
            </w:r>
            <w:r w:rsidRPr="00F92EAE">
              <w:rPr>
                <w:noProof/>
                <w:sz w:val="20"/>
                <w:szCs w:val="20"/>
              </w:rPr>
              <w:t xml:space="preserve"> costs</w:t>
            </w:r>
          </w:p>
        </w:tc>
        <w:tc>
          <w:tcPr>
            <w:tcW w:w="2268" w:type="dxa"/>
            <w:tcMar>
              <w:top w:w="57" w:type="dxa"/>
              <w:left w:w="57" w:type="dxa"/>
              <w:bottom w:w="57" w:type="dxa"/>
              <w:right w:w="57" w:type="dxa"/>
            </w:tcMar>
            <w:vAlign w:val="center"/>
          </w:tcPr>
          <w:p w14:paraId="31AC28BB" w14:textId="77777777" w:rsidR="001F7A08" w:rsidRPr="00F92EAE" w:rsidRDefault="00DF04DA" w:rsidP="002C0E8B">
            <w:pPr>
              <w:spacing w:after="0"/>
              <w:jc w:val="center"/>
              <w:rPr>
                <w:noProof/>
                <w:sz w:val="20"/>
                <w:szCs w:val="20"/>
              </w:rPr>
            </w:pPr>
            <w:r>
              <w:rPr>
                <w:noProof/>
                <w:sz w:val="20"/>
                <w:szCs w:val="20"/>
              </w:rPr>
              <w:t>-</w:t>
            </w:r>
          </w:p>
          <w:p w14:paraId="6F4D5532" w14:textId="4B1D55BB" w:rsidR="00D605FF" w:rsidRPr="00F92EAE" w:rsidRDefault="00D605FF" w:rsidP="002C0E8B">
            <w:pPr>
              <w:spacing w:after="0"/>
              <w:jc w:val="center"/>
              <w:rPr>
                <w:noProof/>
                <w:sz w:val="20"/>
                <w:szCs w:val="20"/>
              </w:rPr>
            </w:pPr>
          </w:p>
        </w:tc>
        <w:tc>
          <w:tcPr>
            <w:tcW w:w="1134" w:type="dxa"/>
            <w:tcMar>
              <w:top w:w="57" w:type="dxa"/>
              <w:left w:w="57" w:type="dxa"/>
              <w:bottom w:w="57" w:type="dxa"/>
              <w:right w:w="57" w:type="dxa"/>
            </w:tcMar>
            <w:vAlign w:val="center"/>
          </w:tcPr>
          <w:p w14:paraId="6C637496" w14:textId="77777777" w:rsidR="001F7A08" w:rsidRPr="00F92EAE" w:rsidRDefault="008B4E47" w:rsidP="002C0E8B">
            <w:pPr>
              <w:spacing w:after="0"/>
              <w:jc w:val="center"/>
              <w:rPr>
                <w:noProof/>
                <w:sz w:val="20"/>
                <w:szCs w:val="20"/>
              </w:rPr>
            </w:pPr>
            <w:r>
              <w:rPr>
                <w:noProof/>
                <w:sz w:val="20"/>
                <w:szCs w:val="20"/>
              </w:rPr>
              <w:t>-</w:t>
            </w:r>
          </w:p>
          <w:p w14:paraId="04CA5D0C" w14:textId="6AF2EE83" w:rsidR="00D605FF" w:rsidRPr="00F92EAE" w:rsidRDefault="00D605FF" w:rsidP="002C0E8B">
            <w:pPr>
              <w:spacing w:after="0"/>
              <w:jc w:val="center"/>
              <w:rPr>
                <w:noProof/>
                <w:sz w:val="20"/>
                <w:szCs w:val="20"/>
              </w:rPr>
            </w:pPr>
          </w:p>
        </w:tc>
        <w:tc>
          <w:tcPr>
            <w:tcW w:w="2835" w:type="dxa"/>
            <w:tcMar>
              <w:top w:w="57" w:type="dxa"/>
              <w:left w:w="57" w:type="dxa"/>
              <w:bottom w:w="57" w:type="dxa"/>
              <w:right w:w="57" w:type="dxa"/>
            </w:tcMar>
            <w:vAlign w:val="center"/>
          </w:tcPr>
          <w:p w14:paraId="2B1C0F35" w14:textId="64296B89" w:rsidR="00D605FF" w:rsidRDefault="00D605FF" w:rsidP="002C0E8B">
            <w:pPr>
              <w:spacing w:after="0"/>
              <w:jc w:val="center"/>
              <w:rPr>
                <w:noProof/>
                <w:sz w:val="20"/>
                <w:szCs w:val="20"/>
              </w:rPr>
            </w:pPr>
            <w:r>
              <w:rPr>
                <w:noProof/>
                <w:sz w:val="20"/>
                <w:szCs w:val="20"/>
              </w:rPr>
              <w:t xml:space="preserve">EUR 2.7 million </w:t>
            </w:r>
            <w:r w:rsidR="009A04F4">
              <w:rPr>
                <w:noProof/>
                <w:sz w:val="20"/>
                <w:szCs w:val="20"/>
              </w:rPr>
              <w:t>IT development costs</w:t>
            </w:r>
            <w:r w:rsidR="00016C8F">
              <w:rPr>
                <w:noProof/>
                <w:sz w:val="20"/>
                <w:szCs w:val="20"/>
              </w:rPr>
              <w:t xml:space="preserve"> (100</w:t>
            </w:r>
            <w:r w:rsidR="00D24B33">
              <w:rPr>
                <w:noProof/>
                <w:sz w:val="20"/>
                <w:szCs w:val="20"/>
              </w:rPr>
              <w:t xml:space="preserve"> 000 per MS)</w:t>
            </w:r>
          </w:p>
          <w:p w14:paraId="03D85150" w14:textId="77777777" w:rsidR="00D605FF" w:rsidRDefault="00D605FF" w:rsidP="002C0E8B">
            <w:pPr>
              <w:spacing w:after="0"/>
              <w:jc w:val="center"/>
              <w:rPr>
                <w:noProof/>
                <w:sz w:val="20"/>
                <w:szCs w:val="20"/>
              </w:rPr>
            </w:pPr>
          </w:p>
          <w:p w14:paraId="324EA70F" w14:textId="778C3376" w:rsidR="00772A44" w:rsidRPr="00F92EAE" w:rsidRDefault="0090736F" w:rsidP="002C0E8B">
            <w:pPr>
              <w:spacing w:after="0"/>
              <w:jc w:val="center"/>
              <w:rPr>
                <w:noProof/>
                <w:sz w:val="20"/>
                <w:szCs w:val="20"/>
              </w:rPr>
            </w:pPr>
            <w:r>
              <w:rPr>
                <w:noProof/>
                <w:sz w:val="20"/>
                <w:szCs w:val="20"/>
              </w:rPr>
              <w:t xml:space="preserve">EUR </w:t>
            </w:r>
            <w:r w:rsidR="005730CF" w:rsidRPr="005730CF">
              <w:rPr>
                <w:noProof/>
                <w:sz w:val="20"/>
                <w:szCs w:val="20"/>
              </w:rPr>
              <w:t>900</w:t>
            </w:r>
            <w:r>
              <w:rPr>
                <w:noProof/>
                <w:sz w:val="20"/>
                <w:szCs w:val="20"/>
              </w:rPr>
              <w:t xml:space="preserve"> </w:t>
            </w:r>
            <w:r w:rsidR="005730CF" w:rsidRPr="005730CF">
              <w:rPr>
                <w:noProof/>
                <w:sz w:val="20"/>
                <w:szCs w:val="20"/>
              </w:rPr>
              <w:t xml:space="preserve">000 IT </w:t>
            </w:r>
            <w:r w:rsidR="00D24B33">
              <w:rPr>
                <w:noProof/>
                <w:sz w:val="20"/>
                <w:szCs w:val="20"/>
              </w:rPr>
              <w:t>connection</w:t>
            </w:r>
            <w:r w:rsidR="005730CF" w:rsidRPr="005730CF">
              <w:rPr>
                <w:noProof/>
                <w:sz w:val="20"/>
                <w:szCs w:val="20"/>
              </w:rPr>
              <w:t xml:space="preserve"> cost</w:t>
            </w:r>
            <w:r w:rsidR="00D24B33">
              <w:rPr>
                <w:noProof/>
                <w:sz w:val="20"/>
                <w:szCs w:val="20"/>
              </w:rPr>
              <w:t>s</w:t>
            </w:r>
            <w:r w:rsidR="005730CF" w:rsidRPr="005730CF">
              <w:rPr>
                <w:noProof/>
                <w:sz w:val="20"/>
                <w:szCs w:val="20"/>
              </w:rPr>
              <w:t xml:space="preserve"> </w:t>
            </w:r>
            <w:r w:rsidR="00D24B33">
              <w:rPr>
                <w:noProof/>
                <w:sz w:val="20"/>
                <w:szCs w:val="20"/>
              </w:rPr>
              <w:t xml:space="preserve">   </w:t>
            </w:r>
            <w:r w:rsidR="005730CF" w:rsidRPr="005730CF">
              <w:rPr>
                <w:noProof/>
                <w:sz w:val="20"/>
                <w:szCs w:val="20"/>
              </w:rPr>
              <w:t>(50</w:t>
            </w:r>
            <w:r w:rsidR="00D24B33">
              <w:rPr>
                <w:noProof/>
                <w:sz w:val="20"/>
                <w:szCs w:val="20"/>
              </w:rPr>
              <w:t xml:space="preserve"> </w:t>
            </w:r>
            <w:r w:rsidR="005730CF" w:rsidRPr="005730CF">
              <w:rPr>
                <w:noProof/>
                <w:sz w:val="20"/>
                <w:szCs w:val="20"/>
              </w:rPr>
              <w:t>000 per 18 MS)</w:t>
            </w:r>
          </w:p>
          <w:p w14:paraId="62604ED4" w14:textId="125E57E6" w:rsidR="00D605FF" w:rsidRPr="00F92EAE" w:rsidRDefault="00D605FF" w:rsidP="002C0E8B">
            <w:pPr>
              <w:spacing w:after="0"/>
              <w:jc w:val="center"/>
              <w:rPr>
                <w:noProof/>
                <w:sz w:val="20"/>
                <w:szCs w:val="20"/>
              </w:rPr>
            </w:pPr>
          </w:p>
        </w:tc>
        <w:tc>
          <w:tcPr>
            <w:tcW w:w="1701" w:type="dxa"/>
            <w:tcMar>
              <w:top w:w="57" w:type="dxa"/>
              <w:left w:w="57" w:type="dxa"/>
              <w:bottom w:w="57" w:type="dxa"/>
              <w:right w:w="57" w:type="dxa"/>
            </w:tcMar>
            <w:vAlign w:val="center"/>
          </w:tcPr>
          <w:p w14:paraId="23BD0112" w14:textId="05E32969" w:rsidR="00D605FF" w:rsidRPr="00F92EAE" w:rsidRDefault="008B4E47" w:rsidP="002C0E8B">
            <w:pPr>
              <w:spacing w:after="0"/>
              <w:jc w:val="center"/>
              <w:rPr>
                <w:noProof/>
                <w:sz w:val="20"/>
                <w:szCs w:val="20"/>
              </w:rPr>
            </w:pPr>
            <w:r>
              <w:rPr>
                <w:noProof/>
                <w:sz w:val="20"/>
                <w:szCs w:val="20"/>
              </w:rPr>
              <w:t>-</w:t>
            </w:r>
          </w:p>
        </w:tc>
      </w:tr>
      <w:tr w:rsidR="00D605FF" w:rsidRPr="00F92EAE" w14:paraId="52898FE6" w14:textId="77777777" w:rsidTr="00AA6F02">
        <w:trPr>
          <w:trHeight w:val="940"/>
        </w:trPr>
        <w:tc>
          <w:tcPr>
            <w:tcW w:w="972" w:type="dxa"/>
            <w:tcMar>
              <w:top w:w="57" w:type="dxa"/>
              <w:left w:w="57" w:type="dxa"/>
              <w:bottom w:w="57" w:type="dxa"/>
              <w:right w:w="57" w:type="dxa"/>
            </w:tcMar>
            <w:vAlign w:val="center"/>
          </w:tcPr>
          <w:p w14:paraId="04052E98" w14:textId="74A7B77C" w:rsidR="00D605FF" w:rsidRPr="00F92EAE" w:rsidRDefault="00D605FF" w:rsidP="0099536E">
            <w:pPr>
              <w:spacing w:after="0"/>
              <w:rPr>
                <w:noProof/>
                <w:sz w:val="20"/>
                <w:szCs w:val="20"/>
              </w:rPr>
            </w:pPr>
            <w:r>
              <w:rPr>
                <w:noProof/>
                <w:sz w:val="20"/>
                <w:szCs w:val="20"/>
              </w:rPr>
              <w:t>PO3c</w:t>
            </w:r>
            <w:r w:rsidRPr="00F92EAE">
              <w:rPr>
                <w:noProof/>
                <w:sz w:val="20"/>
                <w:szCs w:val="20"/>
              </w:rPr>
              <w:t xml:space="preserve">  </w:t>
            </w:r>
          </w:p>
        </w:tc>
        <w:tc>
          <w:tcPr>
            <w:tcW w:w="1296" w:type="dxa"/>
            <w:tcBorders>
              <w:right w:val="double" w:sz="4" w:space="0" w:color="auto"/>
            </w:tcBorders>
            <w:tcMar>
              <w:top w:w="57" w:type="dxa"/>
              <w:left w:w="57" w:type="dxa"/>
              <w:bottom w:w="57" w:type="dxa"/>
              <w:right w:w="57" w:type="dxa"/>
            </w:tcMar>
            <w:vAlign w:val="center"/>
          </w:tcPr>
          <w:p w14:paraId="55D922E8" w14:textId="02DA89E4" w:rsidR="00D605FF" w:rsidRPr="00F92EAE" w:rsidRDefault="00D605FF" w:rsidP="0099536E">
            <w:pPr>
              <w:spacing w:after="0"/>
              <w:jc w:val="left"/>
              <w:rPr>
                <w:noProof/>
                <w:sz w:val="20"/>
                <w:szCs w:val="20"/>
              </w:rPr>
            </w:pPr>
            <w:r w:rsidRPr="00F92EAE">
              <w:rPr>
                <w:noProof/>
                <w:sz w:val="20"/>
                <w:szCs w:val="20"/>
              </w:rPr>
              <w:t>Direct adjustment</w:t>
            </w:r>
            <w:r w:rsidR="001F7A08">
              <w:rPr>
                <w:noProof/>
                <w:sz w:val="20"/>
                <w:szCs w:val="20"/>
              </w:rPr>
              <w:t>/</w:t>
            </w:r>
            <w:r w:rsidR="001F7A08" w:rsidRPr="00F92EAE">
              <w:rPr>
                <w:noProof/>
                <w:sz w:val="20"/>
                <w:szCs w:val="20"/>
              </w:rPr>
              <w:t xml:space="preserve"> administrative</w:t>
            </w:r>
            <w:r w:rsidRPr="00F92EAE">
              <w:rPr>
                <w:noProof/>
                <w:sz w:val="20"/>
                <w:szCs w:val="20"/>
              </w:rPr>
              <w:t xml:space="preserve"> costs</w:t>
            </w:r>
          </w:p>
        </w:tc>
        <w:tc>
          <w:tcPr>
            <w:tcW w:w="2268" w:type="dxa"/>
            <w:tcMar>
              <w:top w:w="57" w:type="dxa"/>
              <w:left w:w="57" w:type="dxa"/>
              <w:bottom w:w="57" w:type="dxa"/>
              <w:right w:w="57" w:type="dxa"/>
            </w:tcMar>
            <w:vAlign w:val="center"/>
          </w:tcPr>
          <w:p w14:paraId="4D5299C4" w14:textId="001F35A2" w:rsidR="00D605FF" w:rsidRPr="00F92EAE" w:rsidRDefault="00795AF1" w:rsidP="002C0E8B">
            <w:pPr>
              <w:spacing w:after="0"/>
              <w:jc w:val="center"/>
              <w:rPr>
                <w:noProof/>
                <w:sz w:val="20"/>
                <w:szCs w:val="20"/>
              </w:rPr>
            </w:pPr>
            <w:r>
              <w:rPr>
                <w:noProof/>
                <w:sz w:val="20"/>
                <w:szCs w:val="20"/>
              </w:rPr>
              <w:t>-</w:t>
            </w:r>
          </w:p>
        </w:tc>
        <w:tc>
          <w:tcPr>
            <w:tcW w:w="1134" w:type="dxa"/>
            <w:tcMar>
              <w:top w:w="57" w:type="dxa"/>
              <w:left w:w="57" w:type="dxa"/>
              <w:bottom w:w="57" w:type="dxa"/>
              <w:right w:w="57" w:type="dxa"/>
            </w:tcMar>
            <w:vAlign w:val="center"/>
          </w:tcPr>
          <w:p w14:paraId="74E1E21F" w14:textId="73649F89" w:rsidR="00D605FF" w:rsidRPr="00F92EAE" w:rsidRDefault="00795AF1" w:rsidP="002C0E8B">
            <w:pPr>
              <w:spacing w:after="0"/>
              <w:jc w:val="center"/>
              <w:rPr>
                <w:noProof/>
                <w:sz w:val="20"/>
                <w:szCs w:val="20"/>
              </w:rPr>
            </w:pPr>
            <w:r>
              <w:rPr>
                <w:noProof/>
                <w:sz w:val="20"/>
                <w:szCs w:val="20"/>
              </w:rPr>
              <w:t>-</w:t>
            </w:r>
          </w:p>
        </w:tc>
        <w:tc>
          <w:tcPr>
            <w:tcW w:w="2835" w:type="dxa"/>
            <w:tcMar>
              <w:top w:w="57" w:type="dxa"/>
              <w:left w:w="57" w:type="dxa"/>
              <w:bottom w:w="57" w:type="dxa"/>
              <w:right w:w="57" w:type="dxa"/>
            </w:tcMar>
            <w:vAlign w:val="center"/>
          </w:tcPr>
          <w:p w14:paraId="18ACAB03" w14:textId="6C220AEB" w:rsidR="00D605FF" w:rsidRPr="00F92EAE" w:rsidRDefault="00D605FF" w:rsidP="002C0E8B">
            <w:pPr>
              <w:spacing w:after="0"/>
              <w:jc w:val="center"/>
              <w:rPr>
                <w:noProof/>
                <w:sz w:val="20"/>
                <w:szCs w:val="20"/>
              </w:rPr>
            </w:pPr>
            <w:r>
              <w:rPr>
                <w:noProof/>
                <w:sz w:val="20"/>
                <w:szCs w:val="20"/>
              </w:rPr>
              <w:t>marginal IT costs</w:t>
            </w:r>
          </w:p>
        </w:tc>
        <w:tc>
          <w:tcPr>
            <w:tcW w:w="1701" w:type="dxa"/>
            <w:tcMar>
              <w:top w:w="57" w:type="dxa"/>
              <w:left w:w="57" w:type="dxa"/>
              <w:bottom w:w="57" w:type="dxa"/>
              <w:right w:w="57" w:type="dxa"/>
            </w:tcMar>
            <w:vAlign w:val="center"/>
          </w:tcPr>
          <w:p w14:paraId="33294D5C" w14:textId="6B8A04D1" w:rsidR="00D605FF" w:rsidRPr="00F92EAE" w:rsidRDefault="00795AF1" w:rsidP="002C0E8B">
            <w:pPr>
              <w:spacing w:after="0"/>
              <w:jc w:val="center"/>
              <w:rPr>
                <w:noProof/>
                <w:sz w:val="20"/>
                <w:szCs w:val="20"/>
              </w:rPr>
            </w:pPr>
            <w:r>
              <w:rPr>
                <w:noProof/>
                <w:sz w:val="20"/>
                <w:szCs w:val="20"/>
              </w:rPr>
              <w:t>-</w:t>
            </w:r>
          </w:p>
        </w:tc>
      </w:tr>
      <w:tr w:rsidR="00D605FF" w:rsidRPr="00F92EAE" w14:paraId="65A0FBBE" w14:textId="77777777" w:rsidTr="00AA6F02">
        <w:trPr>
          <w:trHeight w:val="2090"/>
        </w:trPr>
        <w:tc>
          <w:tcPr>
            <w:tcW w:w="972" w:type="dxa"/>
            <w:tcMar>
              <w:top w:w="57" w:type="dxa"/>
              <w:left w:w="57" w:type="dxa"/>
              <w:bottom w:w="57" w:type="dxa"/>
              <w:right w:w="57" w:type="dxa"/>
            </w:tcMar>
            <w:vAlign w:val="center"/>
          </w:tcPr>
          <w:p w14:paraId="58FA0CB9" w14:textId="55BB78FC" w:rsidR="00D605FF" w:rsidRPr="00F92EAE" w:rsidRDefault="00D605FF" w:rsidP="0099536E">
            <w:pPr>
              <w:spacing w:after="0"/>
              <w:rPr>
                <w:noProof/>
                <w:sz w:val="20"/>
                <w:szCs w:val="20"/>
              </w:rPr>
            </w:pPr>
            <w:r>
              <w:rPr>
                <w:noProof/>
                <w:sz w:val="20"/>
                <w:szCs w:val="20"/>
              </w:rPr>
              <w:t>PO4c</w:t>
            </w:r>
          </w:p>
        </w:tc>
        <w:tc>
          <w:tcPr>
            <w:tcW w:w="1296" w:type="dxa"/>
            <w:tcBorders>
              <w:right w:val="double" w:sz="4" w:space="0" w:color="auto"/>
            </w:tcBorders>
            <w:tcMar>
              <w:top w:w="57" w:type="dxa"/>
              <w:left w:w="57" w:type="dxa"/>
              <w:bottom w:w="57" w:type="dxa"/>
              <w:right w:w="57" w:type="dxa"/>
            </w:tcMar>
            <w:vAlign w:val="center"/>
          </w:tcPr>
          <w:p w14:paraId="0BC6E815" w14:textId="01F66BB7" w:rsidR="00D605FF" w:rsidRPr="00F92EAE" w:rsidRDefault="00D605FF" w:rsidP="0099536E">
            <w:pPr>
              <w:spacing w:after="0"/>
              <w:jc w:val="left"/>
              <w:rPr>
                <w:noProof/>
                <w:sz w:val="20"/>
                <w:szCs w:val="20"/>
              </w:rPr>
            </w:pPr>
            <w:r w:rsidRPr="00F92EAE">
              <w:rPr>
                <w:noProof/>
                <w:sz w:val="20"/>
                <w:szCs w:val="20"/>
              </w:rPr>
              <w:t>Direct adjustment</w:t>
            </w:r>
            <w:r w:rsidR="003D04D8">
              <w:rPr>
                <w:noProof/>
                <w:sz w:val="20"/>
                <w:szCs w:val="20"/>
              </w:rPr>
              <w:t>/</w:t>
            </w:r>
            <w:r w:rsidR="003D04D8" w:rsidRPr="00F92EAE">
              <w:rPr>
                <w:noProof/>
                <w:sz w:val="20"/>
                <w:szCs w:val="20"/>
              </w:rPr>
              <w:t xml:space="preserve"> administrative</w:t>
            </w:r>
            <w:r w:rsidRPr="00F92EAE">
              <w:rPr>
                <w:noProof/>
                <w:sz w:val="20"/>
                <w:szCs w:val="20"/>
              </w:rPr>
              <w:t xml:space="preserve"> costs</w:t>
            </w:r>
          </w:p>
        </w:tc>
        <w:tc>
          <w:tcPr>
            <w:tcW w:w="2268" w:type="dxa"/>
            <w:tcMar>
              <w:top w:w="57" w:type="dxa"/>
              <w:left w:w="57" w:type="dxa"/>
              <w:bottom w:w="57" w:type="dxa"/>
              <w:right w:w="57" w:type="dxa"/>
            </w:tcMar>
            <w:vAlign w:val="center"/>
          </w:tcPr>
          <w:p w14:paraId="5FFC23FA" w14:textId="3A80063C" w:rsidR="00D605FF" w:rsidRPr="00F92EAE" w:rsidRDefault="00C75B42" w:rsidP="002C0E8B">
            <w:pPr>
              <w:spacing w:after="0"/>
              <w:jc w:val="center"/>
              <w:rPr>
                <w:noProof/>
                <w:sz w:val="20"/>
                <w:szCs w:val="20"/>
              </w:rPr>
            </w:pPr>
            <w:r>
              <w:rPr>
                <w:noProof/>
                <w:sz w:val="20"/>
                <w:szCs w:val="20"/>
              </w:rPr>
              <w:t>-</w:t>
            </w:r>
          </w:p>
        </w:tc>
        <w:tc>
          <w:tcPr>
            <w:tcW w:w="1134" w:type="dxa"/>
            <w:tcMar>
              <w:top w:w="57" w:type="dxa"/>
              <w:left w:w="57" w:type="dxa"/>
              <w:bottom w:w="57" w:type="dxa"/>
              <w:right w:w="57" w:type="dxa"/>
            </w:tcMar>
            <w:vAlign w:val="center"/>
          </w:tcPr>
          <w:p w14:paraId="66FD0E40" w14:textId="56CCE05D" w:rsidR="00D605FF" w:rsidRPr="00F92EAE" w:rsidRDefault="00C75B42" w:rsidP="002C0E8B">
            <w:pPr>
              <w:spacing w:after="0"/>
              <w:jc w:val="center"/>
              <w:rPr>
                <w:noProof/>
                <w:sz w:val="20"/>
                <w:szCs w:val="20"/>
              </w:rPr>
            </w:pPr>
            <w:r>
              <w:rPr>
                <w:noProof/>
                <w:sz w:val="20"/>
                <w:szCs w:val="20"/>
              </w:rPr>
              <w:t>-</w:t>
            </w:r>
          </w:p>
        </w:tc>
        <w:tc>
          <w:tcPr>
            <w:tcW w:w="2835" w:type="dxa"/>
            <w:tcMar>
              <w:top w:w="57" w:type="dxa"/>
              <w:left w:w="57" w:type="dxa"/>
              <w:bottom w:w="57" w:type="dxa"/>
              <w:right w:w="57" w:type="dxa"/>
            </w:tcMar>
            <w:vAlign w:val="center"/>
          </w:tcPr>
          <w:p w14:paraId="138F2D1D" w14:textId="4EAE6E5E" w:rsidR="001A4350" w:rsidRPr="001A4350" w:rsidRDefault="001A4350" w:rsidP="002C0E8B">
            <w:pPr>
              <w:spacing w:after="0"/>
              <w:jc w:val="center"/>
              <w:rPr>
                <w:noProof/>
                <w:sz w:val="20"/>
                <w:szCs w:val="16"/>
              </w:rPr>
            </w:pPr>
            <w:r w:rsidRPr="001A4350">
              <w:rPr>
                <w:noProof/>
                <w:sz w:val="20"/>
                <w:szCs w:val="16"/>
              </w:rPr>
              <w:t>between EUR 185</w:t>
            </w:r>
            <w:r w:rsidR="0090736F">
              <w:rPr>
                <w:noProof/>
                <w:sz w:val="20"/>
                <w:szCs w:val="16"/>
              </w:rPr>
              <w:t xml:space="preserve"> </w:t>
            </w:r>
            <w:r w:rsidRPr="001A4350">
              <w:rPr>
                <w:noProof/>
                <w:sz w:val="20"/>
                <w:szCs w:val="16"/>
              </w:rPr>
              <w:t xml:space="preserve">000 </w:t>
            </w:r>
            <w:r w:rsidR="000B7841">
              <w:rPr>
                <w:noProof/>
                <w:sz w:val="20"/>
                <w:szCs w:val="16"/>
              </w:rPr>
              <w:t>and</w:t>
            </w:r>
            <w:r w:rsidRPr="001A4350">
              <w:rPr>
                <w:noProof/>
                <w:sz w:val="20"/>
                <w:szCs w:val="16"/>
              </w:rPr>
              <w:t xml:space="preserve"> </w:t>
            </w:r>
            <w:r w:rsidR="0090736F">
              <w:rPr>
                <w:noProof/>
                <w:sz w:val="20"/>
                <w:szCs w:val="16"/>
              </w:rPr>
              <w:t xml:space="preserve">     </w:t>
            </w:r>
            <w:r w:rsidRPr="001A4350">
              <w:rPr>
                <w:noProof/>
                <w:sz w:val="20"/>
                <w:szCs w:val="16"/>
              </w:rPr>
              <w:t>370</w:t>
            </w:r>
            <w:r w:rsidR="0090736F">
              <w:rPr>
                <w:noProof/>
                <w:sz w:val="20"/>
                <w:szCs w:val="16"/>
              </w:rPr>
              <w:t xml:space="preserve"> </w:t>
            </w:r>
            <w:r w:rsidRPr="001A4350">
              <w:rPr>
                <w:noProof/>
                <w:sz w:val="20"/>
                <w:szCs w:val="16"/>
              </w:rPr>
              <w:t>000 for the development</w:t>
            </w:r>
            <w:r w:rsidR="000B7841">
              <w:rPr>
                <w:noProof/>
                <w:sz w:val="20"/>
                <w:szCs w:val="16"/>
              </w:rPr>
              <w:t xml:space="preserve"> </w:t>
            </w:r>
            <w:r w:rsidR="000B7841" w:rsidRPr="000B7841">
              <w:rPr>
                <w:noProof/>
                <w:sz w:val="20"/>
                <w:szCs w:val="16"/>
              </w:rPr>
              <w:t>of platforms for electronic auctions systems in insolvency</w:t>
            </w:r>
            <w:r w:rsidRPr="001A4350">
              <w:rPr>
                <w:noProof/>
                <w:sz w:val="20"/>
                <w:szCs w:val="16"/>
              </w:rPr>
              <w:t xml:space="preserve"> </w:t>
            </w:r>
          </w:p>
          <w:p w14:paraId="214DA34F" w14:textId="77777777" w:rsidR="001A4350" w:rsidRPr="001A4350" w:rsidRDefault="001A4350" w:rsidP="002C0E8B">
            <w:pPr>
              <w:spacing w:after="0"/>
              <w:jc w:val="center"/>
              <w:rPr>
                <w:noProof/>
                <w:sz w:val="20"/>
                <w:szCs w:val="16"/>
              </w:rPr>
            </w:pPr>
          </w:p>
          <w:p w14:paraId="1518A4B0" w14:textId="213E4089" w:rsidR="00D605FF" w:rsidRPr="00F92EAE" w:rsidRDefault="001A4350" w:rsidP="002C0E8B">
            <w:pPr>
              <w:spacing w:after="0"/>
              <w:jc w:val="center"/>
              <w:rPr>
                <w:noProof/>
                <w:sz w:val="20"/>
                <w:szCs w:val="20"/>
              </w:rPr>
            </w:pPr>
            <w:r w:rsidRPr="001A4350">
              <w:rPr>
                <w:noProof/>
                <w:sz w:val="20"/>
                <w:szCs w:val="16"/>
              </w:rPr>
              <w:t>EUR 324</w:t>
            </w:r>
            <w:r w:rsidR="0090736F">
              <w:rPr>
                <w:noProof/>
                <w:sz w:val="20"/>
                <w:szCs w:val="16"/>
              </w:rPr>
              <w:t xml:space="preserve"> </w:t>
            </w:r>
            <w:r w:rsidRPr="001A4350">
              <w:rPr>
                <w:noProof/>
                <w:sz w:val="20"/>
                <w:szCs w:val="16"/>
              </w:rPr>
              <w:t>000 for the maintenance</w:t>
            </w:r>
            <w:r w:rsidR="00FE4724">
              <w:rPr>
                <w:noProof/>
                <w:sz w:val="20"/>
                <w:szCs w:val="16"/>
              </w:rPr>
              <w:t xml:space="preserve"> </w:t>
            </w:r>
            <w:r w:rsidR="00FE4724" w:rsidRPr="00FE4724">
              <w:rPr>
                <w:noProof/>
                <w:sz w:val="20"/>
                <w:szCs w:val="16"/>
              </w:rPr>
              <w:t>of platforms for electronic auctions systems in insolvency</w:t>
            </w:r>
          </w:p>
        </w:tc>
        <w:tc>
          <w:tcPr>
            <w:tcW w:w="1701" w:type="dxa"/>
            <w:tcMar>
              <w:top w:w="57" w:type="dxa"/>
              <w:left w:w="57" w:type="dxa"/>
              <w:bottom w:w="57" w:type="dxa"/>
              <w:right w:w="57" w:type="dxa"/>
            </w:tcMar>
            <w:vAlign w:val="center"/>
          </w:tcPr>
          <w:p w14:paraId="6D72BBF1" w14:textId="7B82C8D9" w:rsidR="00D605FF" w:rsidRPr="00F92EAE" w:rsidRDefault="00C75B42" w:rsidP="002C0E8B">
            <w:pPr>
              <w:spacing w:after="0"/>
              <w:jc w:val="center"/>
              <w:rPr>
                <w:noProof/>
                <w:sz w:val="20"/>
                <w:szCs w:val="20"/>
              </w:rPr>
            </w:pPr>
            <w:r>
              <w:rPr>
                <w:noProof/>
                <w:sz w:val="20"/>
                <w:szCs w:val="20"/>
              </w:rPr>
              <w:t>-</w:t>
            </w:r>
          </w:p>
        </w:tc>
      </w:tr>
      <w:tr w:rsidR="00D605FF" w:rsidRPr="00F92EAE" w14:paraId="36A74129" w14:textId="77777777" w:rsidTr="00AA6F02">
        <w:trPr>
          <w:trHeight w:val="1400"/>
        </w:trPr>
        <w:tc>
          <w:tcPr>
            <w:tcW w:w="972" w:type="dxa"/>
            <w:tcMar>
              <w:top w:w="57" w:type="dxa"/>
              <w:left w:w="57" w:type="dxa"/>
              <w:bottom w:w="57" w:type="dxa"/>
              <w:right w:w="57" w:type="dxa"/>
            </w:tcMar>
            <w:vAlign w:val="center"/>
          </w:tcPr>
          <w:p w14:paraId="5788BC91" w14:textId="298F542A" w:rsidR="00D605FF" w:rsidRPr="00F92EAE" w:rsidRDefault="00D605FF" w:rsidP="0099536E">
            <w:pPr>
              <w:spacing w:after="0"/>
              <w:rPr>
                <w:noProof/>
                <w:sz w:val="20"/>
                <w:szCs w:val="20"/>
              </w:rPr>
            </w:pPr>
            <w:r>
              <w:rPr>
                <w:noProof/>
                <w:sz w:val="20"/>
                <w:szCs w:val="20"/>
              </w:rPr>
              <w:t>PO5c</w:t>
            </w:r>
          </w:p>
        </w:tc>
        <w:tc>
          <w:tcPr>
            <w:tcW w:w="1296" w:type="dxa"/>
            <w:tcBorders>
              <w:right w:val="double" w:sz="4" w:space="0" w:color="auto"/>
            </w:tcBorders>
            <w:tcMar>
              <w:top w:w="57" w:type="dxa"/>
              <w:left w:w="57" w:type="dxa"/>
              <w:bottom w:w="57" w:type="dxa"/>
              <w:right w:w="57" w:type="dxa"/>
            </w:tcMar>
            <w:vAlign w:val="center"/>
          </w:tcPr>
          <w:p w14:paraId="33B6E862" w14:textId="6A09E36B" w:rsidR="00D605FF" w:rsidRPr="00F92EAE" w:rsidRDefault="00D605FF" w:rsidP="0099536E">
            <w:pPr>
              <w:spacing w:after="0"/>
              <w:jc w:val="left"/>
              <w:rPr>
                <w:noProof/>
                <w:sz w:val="20"/>
                <w:szCs w:val="20"/>
              </w:rPr>
            </w:pPr>
            <w:r w:rsidRPr="00F92EAE">
              <w:rPr>
                <w:noProof/>
                <w:sz w:val="20"/>
                <w:szCs w:val="20"/>
              </w:rPr>
              <w:t>Direct adjustment</w:t>
            </w:r>
            <w:r w:rsidR="003D04D8">
              <w:rPr>
                <w:noProof/>
                <w:sz w:val="20"/>
                <w:szCs w:val="20"/>
              </w:rPr>
              <w:t>/</w:t>
            </w:r>
            <w:r w:rsidR="003D04D8" w:rsidRPr="00F92EAE">
              <w:rPr>
                <w:noProof/>
                <w:sz w:val="20"/>
                <w:szCs w:val="20"/>
              </w:rPr>
              <w:t xml:space="preserve"> administrative</w:t>
            </w:r>
            <w:r w:rsidRPr="00F92EAE">
              <w:rPr>
                <w:noProof/>
                <w:sz w:val="20"/>
                <w:szCs w:val="20"/>
              </w:rPr>
              <w:t xml:space="preserve"> costs</w:t>
            </w:r>
          </w:p>
        </w:tc>
        <w:tc>
          <w:tcPr>
            <w:tcW w:w="2268" w:type="dxa"/>
            <w:tcMar>
              <w:top w:w="57" w:type="dxa"/>
              <w:left w:w="57" w:type="dxa"/>
              <w:bottom w:w="57" w:type="dxa"/>
              <w:right w:w="57" w:type="dxa"/>
            </w:tcMar>
            <w:vAlign w:val="center"/>
          </w:tcPr>
          <w:p w14:paraId="4F3FA378" w14:textId="6D00BD2E" w:rsidR="00D605FF" w:rsidRPr="00F92EAE" w:rsidRDefault="00B64E5E" w:rsidP="002C0E8B">
            <w:pPr>
              <w:spacing w:after="0"/>
              <w:jc w:val="center"/>
              <w:rPr>
                <w:noProof/>
                <w:sz w:val="20"/>
                <w:szCs w:val="20"/>
              </w:rPr>
            </w:pPr>
            <w:r>
              <w:rPr>
                <w:noProof/>
                <w:sz w:val="20"/>
                <w:szCs w:val="20"/>
              </w:rPr>
              <w:t>limited</w:t>
            </w:r>
          </w:p>
        </w:tc>
        <w:tc>
          <w:tcPr>
            <w:tcW w:w="1134" w:type="dxa"/>
            <w:tcMar>
              <w:top w:w="57" w:type="dxa"/>
              <w:left w:w="57" w:type="dxa"/>
              <w:bottom w:w="57" w:type="dxa"/>
              <w:right w:w="57" w:type="dxa"/>
            </w:tcMar>
            <w:vAlign w:val="center"/>
          </w:tcPr>
          <w:p w14:paraId="576F0C35" w14:textId="74F09849" w:rsidR="00D605FF" w:rsidRPr="00F92EAE" w:rsidRDefault="00671494" w:rsidP="002C0E8B">
            <w:pPr>
              <w:spacing w:after="0"/>
              <w:jc w:val="center"/>
              <w:rPr>
                <w:noProof/>
                <w:sz w:val="20"/>
                <w:szCs w:val="20"/>
              </w:rPr>
            </w:pPr>
            <w:r>
              <w:rPr>
                <w:noProof/>
                <w:sz w:val="20"/>
                <w:szCs w:val="20"/>
              </w:rPr>
              <w:t>-</w:t>
            </w:r>
          </w:p>
        </w:tc>
        <w:tc>
          <w:tcPr>
            <w:tcW w:w="2835" w:type="dxa"/>
            <w:tcMar>
              <w:top w:w="57" w:type="dxa"/>
              <w:left w:w="57" w:type="dxa"/>
              <w:bottom w:w="57" w:type="dxa"/>
              <w:right w:w="57" w:type="dxa"/>
            </w:tcMar>
            <w:vAlign w:val="center"/>
          </w:tcPr>
          <w:p w14:paraId="5A343062" w14:textId="224FCDA0" w:rsidR="00D605FF" w:rsidRPr="00F92EAE" w:rsidRDefault="00D605FF" w:rsidP="002C0E8B">
            <w:pPr>
              <w:spacing w:after="0"/>
              <w:jc w:val="center"/>
              <w:rPr>
                <w:noProof/>
                <w:sz w:val="20"/>
                <w:szCs w:val="20"/>
              </w:rPr>
            </w:pPr>
          </w:p>
        </w:tc>
        <w:tc>
          <w:tcPr>
            <w:tcW w:w="1701" w:type="dxa"/>
            <w:tcMar>
              <w:top w:w="57" w:type="dxa"/>
              <w:left w:w="57" w:type="dxa"/>
              <w:bottom w:w="57" w:type="dxa"/>
              <w:right w:w="57" w:type="dxa"/>
            </w:tcMar>
            <w:vAlign w:val="center"/>
          </w:tcPr>
          <w:p w14:paraId="1F31055B" w14:textId="04A4037C" w:rsidR="00D605FF" w:rsidRPr="00F92EAE" w:rsidRDefault="00671494" w:rsidP="002C0E8B">
            <w:pPr>
              <w:spacing w:after="0"/>
              <w:jc w:val="center"/>
              <w:rPr>
                <w:noProof/>
                <w:sz w:val="20"/>
                <w:szCs w:val="20"/>
              </w:rPr>
            </w:pPr>
            <w:r>
              <w:rPr>
                <w:noProof/>
                <w:sz w:val="20"/>
                <w:szCs w:val="20"/>
              </w:rPr>
              <w:t>-</w:t>
            </w:r>
          </w:p>
        </w:tc>
      </w:tr>
      <w:tr w:rsidR="00D605FF" w:rsidRPr="00F92EAE" w14:paraId="27B14D52" w14:textId="77777777" w:rsidTr="00AA6F02">
        <w:trPr>
          <w:trHeight w:val="940"/>
        </w:trPr>
        <w:tc>
          <w:tcPr>
            <w:tcW w:w="972" w:type="dxa"/>
            <w:tcMar>
              <w:top w:w="57" w:type="dxa"/>
              <w:left w:w="57" w:type="dxa"/>
              <w:bottom w:w="57" w:type="dxa"/>
              <w:right w:w="57" w:type="dxa"/>
            </w:tcMar>
            <w:vAlign w:val="center"/>
          </w:tcPr>
          <w:p w14:paraId="153748EA" w14:textId="282BBA56" w:rsidR="00D605FF" w:rsidRPr="00F92EAE" w:rsidRDefault="00D605FF" w:rsidP="0099536E">
            <w:pPr>
              <w:spacing w:after="0"/>
              <w:rPr>
                <w:noProof/>
                <w:sz w:val="20"/>
                <w:szCs w:val="20"/>
              </w:rPr>
            </w:pPr>
            <w:r>
              <w:rPr>
                <w:noProof/>
                <w:sz w:val="20"/>
                <w:szCs w:val="20"/>
              </w:rPr>
              <w:t>PO6b</w:t>
            </w:r>
            <w:r w:rsidRPr="00F92EAE">
              <w:rPr>
                <w:noProof/>
                <w:sz w:val="20"/>
                <w:szCs w:val="20"/>
              </w:rPr>
              <w:t xml:space="preserve">  </w:t>
            </w:r>
          </w:p>
        </w:tc>
        <w:tc>
          <w:tcPr>
            <w:tcW w:w="1296" w:type="dxa"/>
            <w:tcBorders>
              <w:right w:val="double" w:sz="4" w:space="0" w:color="auto"/>
            </w:tcBorders>
            <w:tcMar>
              <w:top w:w="57" w:type="dxa"/>
              <w:left w:w="57" w:type="dxa"/>
              <w:bottom w:w="57" w:type="dxa"/>
              <w:right w:w="57" w:type="dxa"/>
            </w:tcMar>
            <w:vAlign w:val="center"/>
          </w:tcPr>
          <w:p w14:paraId="04F4E811" w14:textId="61866CE3" w:rsidR="00D605FF" w:rsidRPr="00F92EAE" w:rsidRDefault="00D605FF" w:rsidP="0099536E">
            <w:pPr>
              <w:spacing w:after="0"/>
              <w:jc w:val="left"/>
              <w:rPr>
                <w:noProof/>
                <w:sz w:val="20"/>
                <w:szCs w:val="20"/>
              </w:rPr>
            </w:pPr>
            <w:r w:rsidRPr="00F92EAE">
              <w:rPr>
                <w:noProof/>
                <w:sz w:val="20"/>
                <w:szCs w:val="20"/>
              </w:rPr>
              <w:t>Direct adjustment</w:t>
            </w:r>
            <w:r w:rsidR="003D04D8">
              <w:rPr>
                <w:noProof/>
                <w:sz w:val="20"/>
                <w:szCs w:val="20"/>
              </w:rPr>
              <w:t>/</w:t>
            </w:r>
            <w:r w:rsidR="003D04D8" w:rsidRPr="00F92EAE">
              <w:rPr>
                <w:noProof/>
                <w:sz w:val="20"/>
                <w:szCs w:val="20"/>
              </w:rPr>
              <w:t xml:space="preserve"> administrative</w:t>
            </w:r>
            <w:r w:rsidRPr="00F92EAE">
              <w:rPr>
                <w:noProof/>
                <w:sz w:val="20"/>
                <w:szCs w:val="20"/>
              </w:rPr>
              <w:t xml:space="preserve"> costs</w:t>
            </w:r>
          </w:p>
        </w:tc>
        <w:tc>
          <w:tcPr>
            <w:tcW w:w="2268" w:type="dxa"/>
            <w:tcMar>
              <w:top w:w="57" w:type="dxa"/>
              <w:left w:w="57" w:type="dxa"/>
              <w:bottom w:w="57" w:type="dxa"/>
              <w:right w:w="57" w:type="dxa"/>
            </w:tcMar>
            <w:vAlign w:val="center"/>
          </w:tcPr>
          <w:p w14:paraId="3F543E0F" w14:textId="23F33A1D" w:rsidR="00D605FF" w:rsidRPr="00F92EAE" w:rsidRDefault="00C83B2D" w:rsidP="002C0E8B">
            <w:pPr>
              <w:spacing w:after="0"/>
              <w:jc w:val="center"/>
              <w:rPr>
                <w:noProof/>
                <w:sz w:val="20"/>
                <w:szCs w:val="20"/>
              </w:rPr>
            </w:pPr>
            <w:r>
              <w:rPr>
                <w:noProof/>
                <w:sz w:val="20"/>
                <w:szCs w:val="20"/>
              </w:rPr>
              <w:t>limited</w:t>
            </w:r>
          </w:p>
        </w:tc>
        <w:tc>
          <w:tcPr>
            <w:tcW w:w="1134" w:type="dxa"/>
            <w:tcMar>
              <w:top w:w="57" w:type="dxa"/>
              <w:left w:w="57" w:type="dxa"/>
              <w:bottom w:w="57" w:type="dxa"/>
              <w:right w:w="57" w:type="dxa"/>
            </w:tcMar>
            <w:vAlign w:val="center"/>
          </w:tcPr>
          <w:p w14:paraId="1DDDA13D" w14:textId="36A2045C" w:rsidR="00D605FF" w:rsidRPr="00F92EAE" w:rsidRDefault="00FD62B5" w:rsidP="002C0E8B">
            <w:pPr>
              <w:spacing w:after="0"/>
              <w:jc w:val="center"/>
              <w:rPr>
                <w:noProof/>
                <w:sz w:val="20"/>
                <w:szCs w:val="20"/>
              </w:rPr>
            </w:pPr>
            <w:r>
              <w:rPr>
                <w:noProof/>
                <w:sz w:val="20"/>
                <w:szCs w:val="20"/>
              </w:rPr>
              <w:t>-</w:t>
            </w:r>
          </w:p>
        </w:tc>
        <w:tc>
          <w:tcPr>
            <w:tcW w:w="2835" w:type="dxa"/>
            <w:tcMar>
              <w:top w:w="57" w:type="dxa"/>
              <w:left w:w="57" w:type="dxa"/>
              <w:bottom w:w="57" w:type="dxa"/>
              <w:right w:w="57" w:type="dxa"/>
            </w:tcMar>
            <w:vAlign w:val="center"/>
          </w:tcPr>
          <w:p w14:paraId="5A7F6831" w14:textId="7AFCB201" w:rsidR="00D605FF" w:rsidRPr="00F92EAE" w:rsidRDefault="00FD62B5" w:rsidP="002C0E8B">
            <w:pPr>
              <w:spacing w:after="0"/>
              <w:jc w:val="center"/>
              <w:rPr>
                <w:noProof/>
                <w:sz w:val="20"/>
                <w:szCs w:val="20"/>
              </w:rPr>
            </w:pPr>
            <w:r>
              <w:rPr>
                <w:noProof/>
                <w:sz w:val="20"/>
                <w:szCs w:val="20"/>
              </w:rPr>
              <w:t>l</w:t>
            </w:r>
            <w:r w:rsidR="00EA3A8B" w:rsidRPr="00EA3A8B">
              <w:rPr>
                <w:noProof/>
                <w:sz w:val="20"/>
                <w:szCs w:val="20"/>
              </w:rPr>
              <w:t>imite</w:t>
            </w:r>
            <w:r>
              <w:rPr>
                <w:noProof/>
                <w:sz w:val="20"/>
                <w:szCs w:val="20"/>
              </w:rPr>
              <w:t>d</w:t>
            </w:r>
          </w:p>
        </w:tc>
        <w:tc>
          <w:tcPr>
            <w:tcW w:w="1701" w:type="dxa"/>
            <w:tcMar>
              <w:top w:w="57" w:type="dxa"/>
              <w:left w:w="57" w:type="dxa"/>
              <w:bottom w:w="57" w:type="dxa"/>
              <w:right w:w="57" w:type="dxa"/>
            </w:tcMar>
            <w:vAlign w:val="center"/>
          </w:tcPr>
          <w:p w14:paraId="64CD0121" w14:textId="337ADAFF" w:rsidR="00D605FF" w:rsidRPr="00F92EAE" w:rsidRDefault="00FD62B5" w:rsidP="002C0E8B">
            <w:pPr>
              <w:spacing w:after="0"/>
              <w:jc w:val="center"/>
              <w:rPr>
                <w:noProof/>
                <w:sz w:val="20"/>
                <w:szCs w:val="20"/>
              </w:rPr>
            </w:pPr>
            <w:r>
              <w:rPr>
                <w:noProof/>
                <w:sz w:val="20"/>
                <w:szCs w:val="20"/>
              </w:rPr>
              <w:t>-</w:t>
            </w:r>
          </w:p>
        </w:tc>
      </w:tr>
      <w:tr w:rsidR="00D605FF" w:rsidRPr="00F92EAE" w14:paraId="0DE672B1" w14:textId="77777777" w:rsidTr="00AA6F02">
        <w:trPr>
          <w:trHeight w:val="940"/>
        </w:trPr>
        <w:tc>
          <w:tcPr>
            <w:tcW w:w="972" w:type="dxa"/>
            <w:tcMar>
              <w:top w:w="57" w:type="dxa"/>
              <w:left w:w="57" w:type="dxa"/>
              <w:bottom w:w="57" w:type="dxa"/>
              <w:right w:w="57" w:type="dxa"/>
            </w:tcMar>
            <w:vAlign w:val="center"/>
          </w:tcPr>
          <w:p w14:paraId="2AA25786" w14:textId="0AD3B94A" w:rsidR="00D605FF" w:rsidRPr="00F92EAE" w:rsidRDefault="00D605FF" w:rsidP="0099536E">
            <w:pPr>
              <w:spacing w:after="0"/>
              <w:rPr>
                <w:noProof/>
                <w:sz w:val="20"/>
                <w:szCs w:val="20"/>
              </w:rPr>
            </w:pPr>
            <w:r>
              <w:rPr>
                <w:noProof/>
                <w:sz w:val="20"/>
                <w:szCs w:val="20"/>
              </w:rPr>
              <w:t>PO7c</w:t>
            </w:r>
          </w:p>
        </w:tc>
        <w:tc>
          <w:tcPr>
            <w:tcW w:w="1296" w:type="dxa"/>
            <w:tcBorders>
              <w:right w:val="double" w:sz="4" w:space="0" w:color="auto"/>
            </w:tcBorders>
            <w:tcMar>
              <w:top w:w="57" w:type="dxa"/>
              <w:left w:w="57" w:type="dxa"/>
              <w:bottom w:w="57" w:type="dxa"/>
              <w:right w:w="57" w:type="dxa"/>
            </w:tcMar>
            <w:vAlign w:val="center"/>
          </w:tcPr>
          <w:p w14:paraId="31047B49" w14:textId="7DE515DC" w:rsidR="00D605FF" w:rsidRPr="00F92EAE" w:rsidRDefault="00D605FF" w:rsidP="0099536E">
            <w:pPr>
              <w:spacing w:after="0"/>
              <w:jc w:val="left"/>
              <w:rPr>
                <w:noProof/>
                <w:sz w:val="20"/>
                <w:szCs w:val="20"/>
              </w:rPr>
            </w:pPr>
            <w:r w:rsidRPr="00F92EAE">
              <w:rPr>
                <w:noProof/>
                <w:sz w:val="20"/>
                <w:szCs w:val="20"/>
              </w:rPr>
              <w:t>Direct adjustment</w:t>
            </w:r>
            <w:r w:rsidR="00BD1513">
              <w:rPr>
                <w:noProof/>
                <w:sz w:val="20"/>
                <w:szCs w:val="20"/>
              </w:rPr>
              <w:t>/</w:t>
            </w:r>
            <w:r w:rsidR="00BD1513" w:rsidRPr="00F92EAE">
              <w:rPr>
                <w:noProof/>
                <w:sz w:val="20"/>
                <w:szCs w:val="20"/>
              </w:rPr>
              <w:t xml:space="preserve"> administrative</w:t>
            </w:r>
            <w:r w:rsidRPr="00F92EAE">
              <w:rPr>
                <w:noProof/>
                <w:sz w:val="20"/>
                <w:szCs w:val="20"/>
              </w:rPr>
              <w:t xml:space="preserve"> costs</w:t>
            </w:r>
          </w:p>
        </w:tc>
        <w:tc>
          <w:tcPr>
            <w:tcW w:w="2268" w:type="dxa"/>
            <w:tcMar>
              <w:top w:w="57" w:type="dxa"/>
              <w:left w:w="57" w:type="dxa"/>
              <w:bottom w:w="57" w:type="dxa"/>
              <w:right w:w="57" w:type="dxa"/>
            </w:tcMar>
            <w:vAlign w:val="center"/>
          </w:tcPr>
          <w:p w14:paraId="78AF4CAB" w14:textId="38C2CF1F" w:rsidR="00D605FF" w:rsidRPr="00F92EAE" w:rsidRDefault="00BE5CC8" w:rsidP="002C0E8B">
            <w:pPr>
              <w:spacing w:after="0"/>
              <w:jc w:val="center"/>
              <w:rPr>
                <w:noProof/>
                <w:sz w:val="20"/>
                <w:szCs w:val="20"/>
              </w:rPr>
            </w:pPr>
            <w:r>
              <w:rPr>
                <w:noProof/>
                <w:sz w:val="20"/>
                <w:szCs w:val="20"/>
              </w:rPr>
              <w:t>limited</w:t>
            </w:r>
          </w:p>
        </w:tc>
        <w:tc>
          <w:tcPr>
            <w:tcW w:w="1134" w:type="dxa"/>
            <w:tcMar>
              <w:top w:w="57" w:type="dxa"/>
              <w:left w:w="57" w:type="dxa"/>
              <w:bottom w:w="57" w:type="dxa"/>
              <w:right w:w="57" w:type="dxa"/>
            </w:tcMar>
            <w:vAlign w:val="center"/>
          </w:tcPr>
          <w:p w14:paraId="781D3F2B" w14:textId="75922937" w:rsidR="00D605FF" w:rsidRPr="00F92EAE" w:rsidRDefault="00A35F44" w:rsidP="002C0E8B">
            <w:pPr>
              <w:spacing w:after="0"/>
              <w:jc w:val="center"/>
              <w:rPr>
                <w:noProof/>
                <w:sz w:val="20"/>
                <w:szCs w:val="20"/>
              </w:rPr>
            </w:pPr>
            <w:r>
              <w:rPr>
                <w:noProof/>
                <w:sz w:val="20"/>
                <w:szCs w:val="20"/>
              </w:rPr>
              <w:t>limited</w:t>
            </w:r>
          </w:p>
        </w:tc>
        <w:tc>
          <w:tcPr>
            <w:tcW w:w="2835" w:type="dxa"/>
            <w:tcMar>
              <w:top w:w="57" w:type="dxa"/>
              <w:left w:w="57" w:type="dxa"/>
              <w:bottom w:w="57" w:type="dxa"/>
              <w:right w:w="57" w:type="dxa"/>
            </w:tcMar>
            <w:vAlign w:val="center"/>
          </w:tcPr>
          <w:p w14:paraId="150D48FD" w14:textId="16BEDE82" w:rsidR="00D605FF" w:rsidRPr="00F92EAE" w:rsidRDefault="00131645" w:rsidP="002C0E8B">
            <w:pPr>
              <w:spacing w:after="0"/>
              <w:jc w:val="center"/>
              <w:rPr>
                <w:noProof/>
                <w:sz w:val="20"/>
                <w:szCs w:val="20"/>
              </w:rPr>
            </w:pPr>
            <w:r>
              <w:rPr>
                <w:noProof/>
                <w:sz w:val="20"/>
                <w:szCs w:val="20"/>
              </w:rPr>
              <w:t>limited</w:t>
            </w:r>
          </w:p>
        </w:tc>
        <w:tc>
          <w:tcPr>
            <w:tcW w:w="1701" w:type="dxa"/>
            <w:tcMar>
              <w:top w:w="57" w:type="dxa"/>
              <w:left w:w="57" w:type="dxa"/>
              <w:bottom w:w="57" w:type="dxa"/>
              <w:right w:w="57" w:type="dxa"/>
            </w:tcMar>
            <w:vAlign w:val="center"/>
          </w:tcPr>
          <w:p w14:paraId="39B5C8D5" w14:textId="48B4FC50" w:rsidR="00D605FF" w:rsidRPr="00F92EAE" w:rsidRDefault="00BE5CC8" w:rsidP="002C0E8B">
            <w:pPr>
              <w:spacing w:after="0"/>
              <w:jc w:val="center"/>
              <w:rPr>
                <w:noProof/>
                <w:sz w:val="20"/>
                <w:szCs w:val="20"/>
              </w:rPr>
            </w:pPr>
            <w:r>
              <w:rPr>
                <w:noProof/>
                <w:sz w:val="20"/>
                <w:szCs w:val="20"/>
              </w:rPr>
              <w:t>-</w:t>
            </w:r>
          </w:p>
        </w:tc>
      </w:tr>
      <w:tr w:rsidR="00E92988" w:rsidRPr="00F92EAE" w14:paraId="60AF1168" w14:textId="77777777" w:rsidTr="00AA6F02">
        <w:trPr>
          <w:trHeight w:val="758"/>
        </w:trPr>
        <w:tc>
          <w:tcPr>
            <w:tcW w:w="972" w:type="dxa"/>
            <w:tcMar>
              <w:top w:w="57" w:type="dxa"/>
              <w:left w:w="57" w:type="dxa"/>
              <w:bottom w:w="57" w:type="dxa"/>
              <w:right w:w="57" w:type="dxa"/>
            </w:tcMar>
            <w:vAlign w:val="center"/>
          </w:tcPr>
          <w:p w14:paraId="7EB93071" w14:textId="48910540" w:rsidR="00E92988" w:rsidRPr="00F75EA8" w:rsidRDefault="00E92988" w:rsidP="005550DD">
            <w:pPr>
              <w:spacing w:after="0"/>
              <w:rPr>
                <w:b/>
                <w:noProof/>
                <w:sz w:val="20"/>
                <w:szCs w:val="20"/>
              </w:rPr>
            </w:pPr>
            <w:r w:rsidRPr="00F75EA8">
              <w:rPr>
                <w:b/>
                <w:noProof/>
                <w:sz w:val="20"/>
                <w:szCs w:val="20"/>
              </w:rPr>
              <w:t>Total preferred options</w:t>
            </w:r>
          </w:p>
        </w:tc>
        <w:tc>
          <w:tcPr>
            <w:tcW w:w="1296" w:type="dxa"/>
            <w:tcBorders>
              <w:right w:val="double" w:sz="4" w:space="0" w:color="auto"/>
            </w:tcBorders>
            <w:tcMar>
              <w:top w:w="57" w:type="dxa"/>
              <w:left w:w="57" w:type="dxa"/>
              <w:bottom w:w="57" w:type="dxa"/>
              <w:right w:w="57" w:type="dxa"/>
            </w:tcMar>
            <w:vAlign w:val="center"/>
          </w:tcPr>
          <w:p w14:paraId="218453A4" w14:textId="213F110D" w:rsidR="00E92988" w:rsidRPr="00F92EAE" w:rsidRDefault="00E92988" w:rsidP="005550DD">
            <w:pPr>
              <w:spacing w:after="0"/>
              <w:jc w:val="left"/>
              <w:rPr>
                <w:noProof/>
                <w:sz w:val="20"/>
                <w:szCs w:val="20"/>
              </w:rPr>
            </w:pPr>
            <w:r>
              <w:rPr>
                <w:noProof/>
                <w:sz w:val="20"/>
                <w:szCs w:val="20"/>
              </w:rPr>
              <w:t>Direct compliance costs</w:t>
            </w:r>
          </w:p>
        </w:tc>
        <w:tc>
          <w:tcPr>
            <w:tcW w:w="2268" w:type="dxa"/>
            <w:tcMar>
              <w:top w:w="57" w:type="dxa"/>
              <w:left w:w="57" w:type="dxa"/>
              <w:bottom w:w="57" w:type="dxa"/>
              <w:right w:w="57" w:type="dxa"/>
            </w:tcMar>
            <w:vAlign w:val="center"/>
          </w:tcPr>
          <w:p w14:paraId="364BA36E" w14:textId="269F0052" w:rsidR="00DF04DA" w:rsidRDefault="00CE70BE" w:rsidP="00DF04DA">
            <w:pPr>
              <w:spacing w:after="0"/>
              <w:rPr>
                <w:noProof/>
                <w:sz w:val="20"/>
                <w:szCs w:val="20"/>
              </w:rPr>
            </w:pPr>
            <w:r>
              <w:rPr>
                <w:noProof/>
                <w:sz w:val="20"/>
                <w:szCs w:val="20"/>
              </w:rPr>
              <w:t>One-off f</w:t>
            </w:r>
            <w:r w:rsidR="00DF04DA" w:rsidRPr="001F73BD">
              <w:rPr>
                <w:noProof/>
                <w:sz w:val="20"/>
                <w:szCs w:val="20"/>
              </w:rPr>
              <w:t xml:space="preserve">amiliarisation costs for </w:t>
            </w:r>
            <w:r w:rsidR="00CB46E6">
              <w:rPr>
                <w:noProof/>
                <w:sz w:val="20"/>
                <w:szCs w:val="20"/>
              </w:rPr>
              <w:t xml:space="preserve">those existing companies that choose to </w:t>
            </w:r>
            <w:r w:rsidR="00F20518">
              <w:rPr>
                <w:noProof/>
                <w:sz w:val="20"/>
                <w:szCs w:val="20"/>
              </w:rPr>
              <w:t xml:space="preserve">become </w:t>
            </w:r>
            <w:r w:rsidR="00DF26D8">
              <w:rPr>
                <w:noProof/>
                <w:sz w:val="20"/>
                <w:szCs w:val="20"/>
              </w:rPr>
              <w:t>28</w:t>
            </w:r>
            <w:r w:rsidR="00DF26D8" w:rsidRPr="00D20E3E">
              <w:rPr>
                <w:noProof/>
                <w:sz w:val="20"/>
                <w:szCs w:val="20"/>
                <w:vertAlign w:val="superscript"/>
              </w:rPr>
              <w:t>th</w:t>
            </w:r>
            <w:r w:rsidR="00DF26D8">
              <w:rPr>
                <w:noProof/>
                <w:sz w:val="20"/>
                <w:szCs w:val="20"/>
              </w:rPr>
              <w:t xml:space="preserve"> </w:t>
            </w:r>
            <w:r w:rsidR="00DF04DA" w:rsidRPr="001F73BD">
              <w:rPr>
                <w:noProof/>
                <w:sz w:val="20"/>
                <w:szCs w:val="20"/>
              </w:rPr>
              <w:t>companies</w:t>
            </w:r>
            <w:r w:rsidR="00DF04DA" w:rsidRPr="001F73BD" w:rsidDel="00DF26D8">
              <w:rPr>
                <w:noProof/>
                <w:sz w:val="20"/>
                <w:szCs w:val="20"/>
              </w:rPr>
              <w:t xml:space="preserve"> </w:t>
            </w:r>
            <w:r w:rsidR="00F20518">
              <w:rPr>
                <w:noProof/>
                <w:sz w:val="20"/>
                <w:szCs w:val="20"/>
              </w:rPr>
              <w:t xml:space="preserve">through </w:t>
            </w:r>
            <w:r w:rsidR="007960EC">
              <w:rPr>
                <w:noProof/>
                <w:sz w:val="20"/>
                <w:szCs w:val="20"/>
              </w:rPr>
              <w:t xml:space="preserve">domestic </w:t>
            </w:r>
            <w:r w:rsidR="00F20518">
              <w:rPr>
                <w:noProof/>
                <w:sz w:val="20"/>
                <w:szCs w:val="20"/>
              </w:rPr>
              <w:t xml:space="preserve">conversions, </w:t>
            </w:r>
            <w:r w:rsidR="007960EC">
              <w:rPr>
                <w:noProof/>
                <w:sz w:val="20"/>
                <w:szCs w:val="20"/>
              </w:rPr>
              <w:t>or through cross</w:t>
            </w:r>
            <w:r w:rsidR="00143545">
              <w:rPr>
                <w:noProof/>
                <w:sz w:val="20"/>
                <w:szCs w:val="20"/>
              </w:rPr>
              <w:t>-</w:t>
            </w:r>
            <w:r w:rsidR="007960EC">
              <w:rPr>
                <w:noProof/>
                <w:sz w:val="20"/>
                <w:szCs w:val="20"/>
              </w:rPr>
              <w:t>border mergers, divisions or conversions</w:t>
            </w:r>
            <w:r w:rsidR="00DF04DA" w:rsidRPr="001F73BD">
              <w:rPr>
                <w:noProof/>
                <w:sz w:val="20"/>
                <w:szCs w:val="20"/>
              </w:rPr>
              <w:t>, including legal and organisational changes. The</w:t>
            </w:r>
            <w:r w:rsidR="00E81744">
              <w:rPr>
                <w:noProof/>
                <w:sz w:val="20"/>
                <w:szCs w:val="20"/>
              </w:rPr>
              <w:t xml:space="preserve"> 28</w:t>
            </w:r>
            <w:r w:rsidR="00E81744" w:rsidRPr="00E81744">
              <w:rPr>
                <w:noProof/>
                <w:sz w:val="20"/>
                <w:szCs w:val="20"/>
                <w:vertAlign w:val="superscript"/>
              </w:rPr>
              <w:t>th</w:t>
            </w:r>
            <w:r w:rsidR="00E81744">
              <w:rPr>
                <w:noProof/>
                <w:sz w:val="20"/>
                <w:szCs w:val="20"/>
              </w:rPr>
              <w:t xml:space="preserve"> regime</w:t>
            </w:r>
            <w:r w:rsidR="008B443B">
              <w:rPr>
                <w:noProof/>
                <w:sz w:val="20"/>
                <w:szCs w:val="20"/>
              </w:rPr>
              <w:t xml:space="preserve"> is optional/</w:t>
            </w:r>
            <w:r w:rsidR="00DF04DA" w:rsidRPr="001F73BD">
              <w:rPr>
                <w:noProof/>
                <w:sz w:val="20"/>
                <w:szCs w:val="20"/>
              </w:rPr>
              <w:t xml:space="preserve"> voluntary and depend on </w:t>
            </w:r>
            <w:r w:rsidR="008B443B">
              <w:rPr>
                <w:noProof/>
                <w:sz w:val="20"/>
                <w:szCs w:val="20"/>
              </w:rPr>
              <w:t xml:space="preserve">the choice of the company </w:t>
            </w:r>
            <w:r w:rsidR="00DF04DA" w:rsidRPr="001F73BD">
              <w:rPr>
                <w:noProof/>
                <w:sz w:val="20"/>
                <w:szCs w:val="20"/>
              </w:rPr>
              <w:t>to opt into th</w:t>
            </w:r>
            <w:r w:rsidR="00C04C32">
              <w:rPr>
                <w:noProof/>
                <w:sz w:val="20"/>
                <w:szCs w:val="20"/>
              </w:rPr>
              <w:t>at</w:t>
            </w:r>
            <w:r w:rsidR="00DF04DA" w:rsidRPr="001F73BD">
              <w:rPr>
                <w:noProof/>
                <w:sz w:val="20"/>
                <w:szCs w:val="20"/>
              </w:rPr>
              <w:t xml:space="preserve"> regime.</w:t>
            </w:r>
          </w:p>
          <w:p w14:paraId="6C898654" w14:textId="42DB8DCB" w:rsidR="00E92988" w:rsidRDefault="00DF04DA" w:rsidP="00F75EA8">
            <w:pPr>
              <w:spacing w:after="0"/>
              <w:rPr>
                <w:noProof/>
                <w:sz w:val="20"/>
                <w:szCs w:val="20"/>
              </w:rPr>
            </w:pPr>
            <w:r w:rsidRPr="001F73BD">
              <w:rPr>
                <w:noProof/>
                <w:sz w:val="20"/>
                <w:szCs w:val="20"/>
              </w:rPr>
              <w:t>Quantification is not feasible due to heterogeneity across firms</w:t>
            </w:r>
            <w:r>
              <w:rPr>
                <w:noProof/>
                <w:sz w:val="20"/>
                <w:szCs w:val="20"/>
              </w:rPr>
              <w:t>.</w:t>
            </w:r>
          </w:p>
        </w:tc>
        <w:tc>
          <w:tcPr>
            <w:tcW w:w="1134" w:type="dxa"/>
            <w:tcMar>
              <w:top w:w="57" w:type="dxa"/>
              <w:left w:w="57" w:type="dxa"/>
              <w:bottom w:w="57" w:type="dxa"/>
              <w:right w:w="57" w:type="dxa"/>
            </w:tcMar>
            <w:vAlign w:val="center"/>
          </w:tcPr>
          <w:p w14:paraId="72F336DA" w14:textId="70244904" w:rsidR="00E92988" w:rsidRDefault="00FA655D" w:rsidP="005550DD">
            <w:pPr>
              <w:spacing w:after="0"/>
              <w:jc w:val="center"/>
              <w:rPr>
                <w:noProof/>
                <w:sz w:val="20"/>
                <w:szCs w:val="20"/>
              </w:rPr>
            </w:pPr>
            <w:r>
              <w:rPr>
                <w:noProof/>
                <w:sz w:val="20"/>
                <w:szCs w:val="20"/>
              </w:rPr>
              <w:t xml:space="preserve">Costs of </w:t>
            </w:r>
            <w:r w:rsidR="00E6727B">
              <w:rPr>
                <w:noProof/>
                <w:sz w:val="20"/>
                <w:szCs w:val="20"/>
              </w:rPr>
              <w:t>ver</w:t>
            </w:r>
            <w:r w:rsidR="0093396D">
              <w:rPr>
                <w:noProof/>
                <w:sz w:val="20"/>
                <w:szCs w:val="20"/>
              </w:rPr>
              <w:t xml:space="preserve">ifying and recording share transfers, </w:t>
            </w:r>
            <w:r w:rsidRPr="00FA655D">
              <w:rPr>
                <w:noProof/>
                <w:sz w:val="20"/>
                <w:szCs w:val="20"/>
              </w:rPr>
              <w:t xml:space="preserve">assumed to be limited and </w:t>
            </w:r>
            <w:r w:rsidR="00AA6F02">
              <w:rPr>
                <w:noProof/>
                <w:sz w:val="20"/>
                <w:szCs w:val="20"/>
              </w:rPr>
              <w:t xml:space="preserve">largely </w:t>
            </w:r>
            <w:r w:rsidRPr="00FA655D">
              <w:rPr>
                <w:noProof/>
                <w:sz w:val="20"/>
                <w:szCs w:val="20"/>
              </w:rPr>
              <w:t>absorbed within existing governance arrangements</w:t>
            </w:r>
          </w:p>
        </w:tc>
        <w:tc>
          <w:tcPr>
            <w:tcW w:w="2835" w:type="dxa"/>
            <w:tcMar>
              <w:top w:w="57" w:type="dxa"/>
              <w:left w:w="57" w:type="dxa"/>
              <w:bottom w:w="57" w:type="dxa"/>
              <w:right w:w="57" w:type="dxa"/>
            </w:tcMar>
            <w:vAlign w:val="center"/>
          </w:tcPr>
          <w:p w14:paraId="778C5096" w14:textId="0D30F142" w:rsidR="00E92988" w:rsidRDefault="00DF04DA" w:rsidP="00F75EA8">
            <w:pPr>
              <w:spacing w:after="0"/>
              <w:rPr>
                <w:noProof/>
                <w:sz w:val="20"/>
                <w:szCs w:val="20"/>
              </w:rPr>
            </w:pPr>
            <w:r w:rsidRPr="00895662">
              <w:rPr>
                <w:noProof/>
                <w:sz w:val="20"/>
                <w:szCs w:val="20"/>
              </w:rPr>
              <w:t>One-off costs related to adapting business registers, IT systems to support the 28</w:t>
            </w:r>
            <w:r w:rsidRPr="00D80018">
              <w:rPr>
                <w:noProof/>
                <w:sz w:val="20"/>
                <w:szCs w:val="20"/>
                <w:vertAlign w:val="superscript"/>
              </w:rPr>
              <w:t>th</w:t>
            </w:r>
            <w:r w:rsidRPr="00895662">
              <w:rPr>
                <w:noProof/>
                <w:sz w:val="20"/>
                <w:szCs w:val="20"/>
              </w:rPr>
              <w:t xml:space="preserve"> regime. These costs are expected to be limited and mainly incurred during the implementation phase</w:t>
            </w:r>
            <w:r w:rsidR="00896310">
              <w:rPr>
                <w:noProof/>
                <w:sz w:val="20"/>
                <w:szCs w:val="20"/>
              </w:rPr>
              <w:t xml:space="preserve"> (EUR 4.</w:t>
            </w:r>
            <w:r w:rsidR="00820A06">
              <w:rPr>
                <w:noProof/>
                <w:sz w:val="20"/>
                <w:szCs w:val="20"/>
              </w:rPr>
              <w:t>2</w:t>
            </w:r>
            <w:r w:rsidR="00896310">
              <w:rPr>
                <w:noProof/>
                <w:sz w:val="20"/>
                <w:szCs w:val="20"/>
              </w:rPr>
              <w:t xml:space="preserve"> million</w:t>
            </w:r>
            <w:r w:rsidR="006F0107">
              <w:rPr>
                <w:noProof/>
                <w:sz w:val="20"/>
                <w:szCs w:val="20"/>
              </w:rPr>
              <w:t xml:space="preserve"> across</w:t>
            </w:r>
            <w:r w:rsidR="006A46C7">
              <w:rPr>
                <w:noProof/>
                <w:sz w:val="20"/>
                <w:szCs w:val="20"/>
              </w:rPr>
              <w:t xml:space="preserve"> EU</w:t>
            </w:r>
            <w:r w:rsidR="00C222CC">
              <w:rPr>
                <w:noProof/>
                <w:sz w:val="20"/>
                <w:szCs w:val="20"/>
              </w:rPr>
              <w:t>-</w:t>
            </w:r>
            <w:r w:rsidR="006A46C7">
              <w:rPr>
                <w:noProof/>
                <w:sz w:val="20"/>
                <w:szCs w:val="20"/>
              </w:rPr>
              <w:t>27</w:t>
            </w:r>
            <w:r w:rsidR="00896310">
              <w:rPr>
                <w:noProof/>
                <w:sz w:val="20"/>
                <w:szCs w:val="20"/>
              </w:rPr>
              <w:t>)</w:t>
            </w:r>
            <w:r w:rsidRPr="00895662">
              <w:rPr>
                <w:noProof/>
                <w:sz w:val="20"/>
                <w:szCs w:val="20"/>
              </w:rPr>
              <w:t>.</w:t>
            </w:r>
          </w:p>
        </w:tc>
        <w:tc>
          <w:tcPr>
            <w:tcW w:w="1701" w:type="dxa"/>
            <w:tcMar>
              <w:top w:w="57" w:type="dxa"/>
              <w:left w:w="57" w:type="dxa"/>
              <w:bottom w:w="57" w:type="dxa"/>
              <w:right w:w="57" w:type="dxa"/>
            </w:tcMar>
            <w:vAlign w:val="center"/>
          </w:tcPr>
          <w:p w14:paraId="5CFC9362" w14:textId="0C0764FD" w:rsidR="00E92988" w:rsidRDefault="00DF04DA" w:rsidP="005550DD">
            <w:pPr>
              <w:spacing w:after="0"/>
              <w:jc w:val="center"/>
              <w:rPr>
                <w:noProof/>
                <w:sz w:val="20"/>
                <w:szCs w:val="20"/>
              </w:rPr>
            </w:pPr>
            <w:r>
              <w:rPr>
                <w:noProof/>
                <w:sz w:val="20"/>
                <w:szCs w:val="20"/>
              </w:rPr>
              <w:t>-</w:t>
            </w:r>
          </w:p>
        </w:tc>
      </w:tr>
    </w:tbl>
    <w:p w14:paraId="3C4C84A1" w14:textId="77777777" w:rsidR="003506A0" w:rsidRPr="003506A0" w:rsidRDefault="003506A0" w:rsidP="00B8622B">
      <w:pPr>
        <w:pStyle w:val="ListParagraph"/>
        <w:ind w:left="-207"/>
        <w:rPr>
          <w:noProof/>
          <w:sz w:val="22"/>
          <w:szCs w:val="22"/>
        </w:rPr>
      </w:pPr>
    </w:p>
    <w:tbl>
      <w:tblPr>
        <w:tblW w:w="10353" w:type="dxa"/>
        <w:tblInd w:w="-459" w:type="dxa"/>
        <w:tblCellMar>
          <w:left w:w="0" w:type="dxa"/>
          <w:right w:w="0" w:type="dxa"/>
        </w:tblCellMar>
        <w:tblLook w:val="04A0" w:firstRow="1" w:lastRow="0" w:firstColumn="1" w:lastColumn="0" w:noHBand="0" w:noVBand="1"/>
      </w:tblPr>
      <w:tblGrid>
        <w:gridCol w:w="2540"/>
        <w:gridCol w:w="2705"/>
        <w:gridCol w:w="2977"/>
        <w:gridCol w:w="2131"/>
      </w:tblGrid>
      <w:tr w:rsidR="00315B43" w14:paraId="42D90478" w14:textId="13B30ADB" w:rsidTr="07E358E1">
        <w:tc>
          <w:tcPr>
            <w:tcW w:w="10353" w:type="dxa"/>
            <w:gridSpan w:val="4"/>
            <w:tcBorders>
              <w:top w:val="double" w:sz="4" w:space="0" w:color="auto"/>
              <w:left w:val="double" w:sz="4" w:space="0" w:color="auto"/>
              <w:bottom w:val="single" w:sz="8" w:space="0" w:color="auto"/>
              <w:right w:val="double" w:sz="4" w:space="0" w:color="auto"/>
            </w:tcBorders>
            <w:shd w:val="clear" w:color="auto" w:fill="C6D9F1" w:themeFill="text2" w:themeFillTint="33"/>
            <w:tcMar>
              <w:top w:w="0" w:type="dxa"/>
              <w:left w:w="108" w:type="dxa"/>
              <w:bottom w:w="0" w:type="dxa"/>
              <w:right w:w="108" w:type="dxa"/>
            </w:tcMar>
            <w:vAlign w:val="center"/>
            <w:hideMark/>
          </w:tcPr>
          <w:p w14:paraId="56B41FFD" w14:textId="01E2E5AE" w:rsidR="00315B43" w:rsidRDefault="00315B43">
            <w:pPr>
              <w:spacing w:before="60" w:after="60"/>
              <w:rPr>
                <w:b/>
                <w:bCs/>
                <w:noProof/>
                <w:sz w:val="20"/>
                <w:szCs w:val="20"/>
              </w:rPr>
            </w:pPr>
            <w:bookmarkStart w:id="22" w:name="_Hlk126312867"/>
            <w:r>
              <w:rPr>
                <w:b/>
                <w:bCs/>
                <w:noProof/>
                <w:sz w:val="20"/>
                <w:szCs w:val="20"/>
              </w:rPr>
              <w:t>III. Application of the ‘one in, one out’ approach – Preferred option(s)</w:t>
            </w:r>
          </w:p>
        </w:tc>
      </w:tr>
      <w:tr w:rsidR="00B8622B" w14:paraId="4709D318" w14:textId="573C2219" w:rsidTr="00F75EA8">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1A8D4131" w14:textId="74520BCD" w:rsidR="00B8622B" w:rsidRDefault="041C63D4">
            <w:pPr>
              <w:spacing w:before="60" w:after="60"/>
              <w:jc w:val="right"/>
              <w:rPr>
                <w:rFonts w:ascii="Calibri" w:hAnsi="Calibri" w:cs="Calibri"/>
                <w:b/>
                <w:bCs/>
                <w:noProof/>
                <w:sz w:val="20"/>
                <w:szCs w:val="20"/>
              </w:rPr>
            </w:pPr>
            <w:r w:rsidRPr="07E358E1">
              <w:rPr>
                <w:b/>
                <w:bCs/>
                <w:noProof/>
                <w:sz w:val="20"/>
                <w:szCs w:val="20"/>
              </w:rPr>
              <w:t>[</w:t>
            </w:r>
            <w:r w:rsidR="1A3396E4" w:rsidRPr="07E358E1">
              <w:rPr>
                <w:b/>
                <w:bCs/>
                <w:noProof/>
                <w:sz w:val="20"/>
                <w:szCs w:val="20"/>
              </w:rPr>
              <w:t>EUR</w:t>
            </w:r>
            <w:r w:rsidR="00CE2FF4">
              <w:rPr>
                <w:b/>
                <w:bCs/>
                <w:noProof/>
                <w:sz w:val="20"/>
                <w:szCs w:val="20"/>
              </w:rPr>
              <w:t> </w:t>
            </w:r>
            <w:r w:rsidRPr="07E358E1">
              <w:rPr>
                <w:b/>
                <w:bCs/>
                <w:noProof/>
                <w:sz w:val="20"/>
                <w:szCs w:val="20"/>
              </w:rPr>
              <w:t>M]</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0AC739" w14:textId="77777777" w:rsidR="00B8622B" w:rsidRDefault="00B8622B">
            <w:pPr>
              <w:spacing w:before="60"/>
              <w:jc w:val="center"/>
              <w:rPr>
                <w:b/>
                <w:bCs/>
                <w:noProof/>
                <w:sz w:val="20"/>
                <w:szCs w:val="20"/>
              </w:rPr>
            </w:pPr>
            <w:r>
              <w:rPr>
                <w:b/>
                <w:bCs/>
                <w:noProof/>
                <w:sz w:val="20"/>
                <w:szCs w:val="20"/>
              </w:rPr>
              <w:t>One-off</w:t>
            </w:r>
          </w:p>
          <w:p w14:paraId="1089A80E" w14:textId="58CE960A" w:rsidR="00B8622B" w:rsidRDefault="00B8622B">
            <w:pPr>
              <w:spacing w:after="60"/>
              <w:jc w:val="center"/>
              <w:rPr>
                <w:noProof/>
                <w:sz w:val="20"/>
                <w:szCs w:val="20"/>
              </w:rPr>
            </w:pPr>
            <w:r>
              <w:rPr>
                <w:noProof/>
                <w:sz w:val="20"/>
                <w:szCs w:val="20"/>
              </w:rPr>
              <w:t>(annualised total net present value over the relevant period)</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0C00EC78" w14:textId="77777777" w:rsidR="00B8622B" w:rsidRDefault="00B8622B">
            <w:pPr>
              <w:spacing w:before="60"/>
              <w:jc w:val="center"/>
              <w:rPr>
                <w:b/>
                <w:bCs/>
                <w:noProof/>
                <w:sz w:val="20"/>
                <w:szCs w:val="20"/>
              </w:rPr>
            </w:pPr>
            <w:r>
              <w:rPr>
                <w:b/>
                <w:bCs/>
                <w:noProof/>
                <w:sz w:val="20"/>
                <w:szCs w:val="20"/>
              </w:rPr>
              <w:t>Recurrent</w:t>
            </w:r>
          </w:p>
          <w:p w14:paraId="1A7C60BB" w14:textId="77777777" w:rsidR="00B8622B" w:rsidRDefault="00B8622B">
            <w:pPr>
              <w:spacing w:after="60"/>
              <w:jc w:val="center"/>
              <w:rPr>
                <w:b/>
                <w:bCs/>
                <w:noProof/>
                <w:sz w:val="20"/>
                <w:szCs w:val="20"/>
              </w:rPr>
            </w:pPr>
            <w:r>
              <w:rPr>
                <w:noProof/>
                <w:sz w:val="20"/>
                <w:szCs w:val="20"/>
              </w:rPr>
              <w:t>(nominal values per year)</w:t>
            </w:r>
          </w:p>
          <w:p w14:paraId="3097B50F" w14:textId="77777777" w:rsidR="00B8622B" w:rsidRDefault="00B8622B">
            <w:pPr>
              <w:spacing w:before="60" w:after="60"/>
              <w:jc w:val="center"/>
              <w:rPr>
                <w:b/>
                <w:bCs/>
                <w:noProof/>
                <w:sz w:val="20"/>
                <w:szCs w:val="20"/>
              </w:rPr>
            </w:pPr>
          </w:p>
        </w:tc>
        <w:tc>
          <w:tcPr>
            <w:tcW w:w="2131" w:type="dxa"/>
            <w:tcBorders>
              <w:top w:val="nil"/>
              <w:left w:val="nil"/>
              <w:bottom w:val="single" w:sz="8" w:space="0" w:color="auto"/>
              <w:right w:val="double" w:sz="4" w:space="0" w:color="auto"/>
            </w:tcBorders>
          </w:tcPr>
          <w:p w14:paraId="38F4F638" w14:textId="16D0AD58" w:rsidR="00B8622B" w:rsidRDefault="00B8622B">
            <w:pPr>
              <w:spacing w:before="60"/>
              <w:jc w:val="center"/>
              <w:rPr>
                <w:b/>
                <w:bCs/>
                <w:noProof/>
                <w:sz w:val="20"/>
                <w:szCs w:val="20"/>
              </w:rPr>
            </w:pPr>
            <w:r>
              <w:rPr>
                <w:b/>
                <w:bCs/>
                <w:noProof/>
                <w:sz w:val="20"/>
                <w:szCs w:val="20"/>
              </w:rPr>
              <w:t>Total</w:t>
            </w:r>
          </w:p>
        </w:tc>
      </w:tr>
      <w:tr w:rsidR="00E53309" w14:paraId="782287AF" w14:textId="289693B8" w:rsidTr="07E358E1">
        <w:tc>
          <w:tcPr>
            <w:tcW w:w="10353" w:type="dxa"/>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14:paraId="33ADB75C" w14:textId="52AA0302" w:rsidR="00E53309" w:rsidRPr="00315B43" w:rsidRDefault="00E53309" w:rsidP="00E53309">
            <w:pPr>
              <w:spacing w:before="120" w:after="120"/>
              <w:jc w:val="left"/>
              <w:rPr>
                <w:b/>
                <w:bCs/>
                <w:noProof/>
                <w:sz w:val="20"/>
                <w:szCs w:val="20"/>
                <w:lang w:eastAsia="en-GB"/>
              </w:rPr>
            </w:pPr>
            <w:r>
              <w:rPr>
                <w:b/>
                <w:bCs/>
                <w:noProof/>
                <w:sz w:val="20"/>
                <w:szCs w:val="20"/>
              </w:rPr>
              <w:t>Businesses</w:t>
            </w:r>
          </w:p>
        </w:tc>
      </w:tr>
      <w:tr w:rsidR="00B8622B" w14:paraId="7EDC2426" w14:textId="2A602322" w:rsidTr="00F75EA8">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5FBC4C7E" w14:textId="1EBBEA88" w:rsidR="00B8622B" w:rsidRDefault="00B8622B" w:rsidP="00A6587E">
            <w:pPr>
              <w:spacing w:before="60" w:after="60"/>
              <w:ind w:left="284"/>
              <w:jc w:val="left"/>
              <w:rPr>
                <w:noProof/>
                <w:sz w:val="20"/>
                <w:szCs w:val="20"/>
              </w:rPr>
            </w:pPr>
            <w:r>
              <w:rPr>
                <w:noProof/>
                <w:sz w:val="20"/>
                <w:szCs w:val="20"/>
              </w:rPr>
              <w:t>New administrative burdens (I</w:t>
            </w:r>
            <w:r w:rsidR="00D80018">
              <w:rPr>
                <w:noProof/>
                <w:sz w:val="20"/>
                <w:szCs w:val="20"/>
              </w:rPr>
              <w:t>n</w:t>
            </w:r>
            <w:r>
              <w:rPr>
                <w:noProof/>
                <w:sz w:val="20"/>
                <w:szCs w:val="20"/>
              </w:rPr>
              <w:t>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55CF6ACB" w14:textId="3760FCCE" w:rsidR="00B8622B" w:rsidRDefault="00750804" w:rsidP="00750804">
            <w:pPr>
              <w:jc w:val="center"/>
              <w:rPr>
                <w:noProof/>
                <w:sz w:val="20"/>
                <w:szCs w:val="20"/>
                <w:lang w:eastAsia="en-GB"/>
              </w:rPr>
            </w:pPr>
            <w:r>
              <w:rPr>
                <w:noProof/>
                <w:sz w:val="20"/>
                <w:szCs w:val="20"/>
                <w:lang w:eastAsia="en-GB"/>
              </w:rPr>
              <w:t>0</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1140D29A" w14:textId="5BE6467E" w:rsidR="00B8622B" w:rsidRDefault="00B8622B" w:rsidP="00D80018">
            <w:pPr>
              <w:jc w:val="center"/>
              <w:rPr>
                <w:noProof/>
                <w:sz w:val="20"/>
                <w:szCs w:val="20"/>
                <w:lang w:eastAsia="en-GB"/>
              </w:rPr>
            </w:pPr>
          </w:p>
        </w:tc>
        <w:tc>
          <w:tcPr>
            <w:tcW w:w="2131" w:type="dxa"/>
            <w:tcBorders>
              <w:top w:val="nil"/>
              <w:left w:val="nil"/>
              <w:bottom w:val="single" w:sz="8" w:space="0" w:color="auto"/>
              <w:right w:val="double" w:sz="4" w:space="0" w:color="auto"/>
            </w:tcBorders>
            <w:vAlign w:val="center"/>
          </w:tcPr>
          <w:p w14:paraId="4530999B" w14:textId="77777777" w:rsidR="00B8622B" w:rsidRDefault="00B8622B" w:rsidP="00315B43">
            <w:pPr>
              <w:jc w:val="center"/>
              <w:rPr>
                <w:noProof/>
                <w:sz w:val="20"/>
                <w:szCs w:val="20"/>
                <w:lang w:eastAsia="en-GB"/>
              </w:rPr>
            </w:pPr>
          </w:p>
        </w:tc>
      </w:tr>
      <w:tr w:rsidR="00B8622B" w14:paraId="39934E1F" w14:textId="7481A95F" w:rsidTr="00F75EA8">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5E63CD93" w14:textId="77777777" w:rsidR="00B8622B" w:rsidRDefault="00B8622B" w:rsidP="00A6587E">
            <w:pPr>
              <w:spacing w:before="60" w:after="60"/>
              <w:ind w:left="284"/>
              <w:jc w:val="left"/>
              <w:rPr>
                <w:noProof/>
                <w:sz w:val="20"/>
                <w:szCs w:val="20"/>
              </w:rPr>
            </w:pPr>
            <w:r>
              <w:rPr>
                <w:noProof/>
                <w:sz w:val="20"/>
                <w:szCs w:val="20"/>
              </w:rPr>
              <w:t>Removed administrative burdens (OUTs)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35D25F56" w14:textId="4780FB71" w:rsidR="00B8622B" w:rsidRDefault="00154067">
            <w:pPr>
              <w:rPr>
                <w:noProof/>
                <w:sz w:val="20"/>
                <w:szCs w:val="20"/>
                <w:lang w:eastAsia="en-GB"/>
              </w:rPr>
            </w:pPr>
            <w:bookmarkStart w:id="23" w:name="_Hlk219195248"/>
            <w:r w:rsidRPr="00F75EA8">
              <w:rPr>
                <w:noProof/>
                <w:sz w:val="20"/>
                <w:szCs w:val="20"/>
                <w:lang w:eastAsia="en-GB"/>
              </w:rPr>
              <w:t>EUR</w:t>
            </w:r>
            <w:r w:rsidR="00CE2FF4" w:rsidRPr="00F75EA8">
              <w:rPr>
                <w:noProof/>
                <w:sz w:val="20"/>
                <w:szCs w:val="20"/>
                <w:lang w:eastAsia="en-GB"/>
              </w:rPr>
              <w:t> </w:t>
            </w:r>
            <w:r w:rsidR="00E36445" w:rsidRPr="00F75EA8">
              <w:rPr>
                <w:noProof/>
                <w:sz w:val="20"/>
                <w:szCs w:val="20"/>
                <w:lang w:eastAsia="en-GB"/>
              </w:rPr>
              <w:t>328</w:t>
            </w:r>
            <w:r w:rsidRPr="00F75EA8">
              <w:rPr>
                <w:noProof/>
                <w:sz w:val="20"/>
                <w:szCs w:val="20"/>
                <w:lang w:eastAsia="en-GB"/>
              </w:rPr>
              <w:t xml:space="preserve"> to EUR</w:t>
            </w:r>
            <w:r w:rsidR="00CE2FF4" w:rsidRPr="00F75EA8">
              <w:rPr>
                <w:noProof/>
                <w:sz w:val="20"/>
                <w:szCs w:val="20"/>
                <w:lang w:eastAsia="en-GB"/>
              </w:rPr>
              <w:t> </w:t>
            </w:r>
            <w:r w:rsidR="00E61AF7" w:rsidRPr="00F75EA8">
              <w:rPr>
                <w:noProof/>
                <w:sz w:val="20"/>
                <w:szCs w:val="20"/>
                <w:lang w:eastAsia="en-GB"/>
              </w:rPr>
              <w:t>440</w:t>
            </w:r>
            <w:r w:rsidRPr="00F75EA8">
              <w:rPr>
                <w:noProof/>
                <w:sz w:val="20"/>
                <w:szCs w:val="20"/>
                <w:lang w:eastAsia="en-GB"/>
              </w:rPr>
              <w:t xml:space="preserve"> million</w:t>
            </w:r>
            <w:bookmarkEnd w:id="23"/>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62A04566" w14:textId="0710C5D9" w:rsidR="00B8622B" w:rsidRDefault="00B8622B" w:rsidP="00D80018">
            <w:pPr>
              <w:jc w:val="center"/>
              <w:rPr>
                <w:noProof/>
                <w:sz w:val="20"/>
                <w:szCs w:val="20"/>
                <w:lang w:eastAsia="en-GB"/>
              </w:rPr>
            </w:pPr>
          </w:p>
        </w:tc>
        <w:tc>
          <w:tcPr>
            <w:tcW w:w="2131" w:type="dxa"/>
            <w:tcBorders>
              <w:top w:val="nil"/>
              <w:left w:val="nil"/>
              <w:bottom w:val="single" w:sz="8" w:space="0" w:color="auto"/>
              <w:right w:val="double" w:sz="4" w:space="0" w:color="auto"/>
            </w:tcBorders>
            <w:vAlign w:val="center"/>
          </w:tcPr>
          <w:p w14:paraId="2D4B8817" w14:textId="56B067E4" w:rsidR="00B8622B" w:rsidRDefault="005A0F3A" w:rsidP="00315B43">
            <w:pPr>
              <w:jc w:val="center"/>
              <w:rPr>
                <w:noProof/>
                <w:sz w:val="20"/>
                <w:szCs w:val="20"/>
                <w:lang w:eastAsia="en-GB"/>
              </w:rPr>
            </w:pPr>
            <w:r w:rsidRPr="00F75EA8">
              <w:rPr>
                <w:noProof/>
                <w:sz w:val="20"/>
                <w:szCs w:val="20"/>
                <w:lang w:eastAsia="en-GB"/>
              </w:rPr>
              <w:t>EUR</w:t>
            </w:r>
            <w:r w:rsidR="00E61AF7" w:rsidRPr="00F75EA8">
              <w:rPr>
                <w:noProof/>
                <w:sz w:val="20"/>
                <w:szCs w:val="20"/>
                <w:lang w:eastAsia="en-GB"/>
              </w:rPr>
              <w:t> 328</w:t>
            </w:r>
            <w:r w:rsidRPr="00F75EA8">
              <w:rPr>
                <w:noProof/>
                <w:sz w:val="20"/>
                <w:szCs w:val="20"/>
                <w:lang w:eastAsia="en-GB"/>
              </w:rPr>
              <w:t xml:space="preserve"> to EUR</w:t>
            </w:r>
            <w:r w:rsidR="00E61AF7" w:rsidRPr="00F75EA8">
              <w:rPr>
                <w:noProof/>
                <w:sz w:val="20"/>
                <w:szCs w:val="20"/>
                <w:lang w:eastAsia="en-GB"/>
              </w:rPr>
              <w:t> 440</w:t>
            </w:r>
            <w:r w:rsidRPr="00F75EA8">
              <w:rPr>
                <w:noProof/>
                <w:sz w:val="20"/>
                <w:szCs w:val="20"/>
                <w:lang w:eastAsia="en-GB"/>
              </w:rPr>
              <w:t xml:space="preserve"> million</w:t>
            </w:r>
          </w:p>
        </w:tc>
      </w:tr>
      <w:tr w:rsidR="00E53309" w14:paraId="526942CD" w14:textId="45B0A775" w:rsidTr="00F75EA8">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6328BC99" w14:textId="5071C6C1" w:rsidR="00B8622B" w:rsidRPr="000E345B" w:rsidRDefault="00B8622B" w:rsidP="00A6587E">
            <w:pPr>
              <w:spacing w:before="60" w:after="60"/>
              <w:ind w:left="284"/>
              <w:jc w:val="left"/>
              <w:rPr>
                <w:b/>
                <w:bCs/>
                <w:i/>
                <w:iCs/>
                <w:noProof/>
                <w:sz w:val="20"/>
                <w:szCs w:val="20"/>
              </w:rPr>
            </w:pPr>
            <w:r w:rsidRPr="000E345B">
              <w:rPr>
                <w:b/>
                <w:bCs/>
                <w:i/>
                <w:iCs/>
                <w:noProof/>
                <w:sz w:val="20"/>
                <w:szCs w:val="20"/>
              </w:rPr>
              <w:t>Net administrative burdens</w:t>
            </w:r>
            <w:r w:rsidR="000E345B">
              <w:rPr>
                <w:b/>
                <w:bCs/>
                <w:i/>
                <w:iCs/>
                <w:noProof/>
                <w:sz w:val="20"/>
                <w:szCs w:val="20"/>
              </w:rPr>
              <w:t>*</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2CD82269" w14:textId="35BBF996" w:rsidR="00B8622B" w:rsidRDefault="00446F9B" w:rsidP="00A6587E">
            <w:pPr>
              <w:jc w:val="center"/>
              <w:rPr>
                <w:noProof/>
                <w:sz w:val="20"/>
                <w:szCs w:val="20"/>
                <w:lang w:eastAsia="en-GB"/>
              </w:rPr>
            </w:pPr>
            <w:r w:rsidRPr="00F75EA8">
              <w:rPr>
                <w:noProof/>
                <w:sz w:val="20"/>
                <w:szCs w:val="20"/>
                <w:lang w:eastAsia="en-GB"/>
              </w:rPr>
              <w:t>EUR </w:t>
            </w:r>
            <w:r w:rsidR="00E61AF7" w:rsidRPr="00F75EA8">
              <w:rPr>
                <w:noProof/>
                <w:sz w:val="20"/>
                <w:szCs w:val="20"/>
                <w:lang w:eastAsia="en-GB"/>
              </w:rPr>
              <w:t>328</w:t>
            </w:r>
            <w:r w:rsidRPr="00F75EA8">
              <w:rPr>
                <w:noProof/>
                <w:sz w:val="20"/>
                <w:szCs w:val="20"/>
                <w:lang w:eastAsia="en-GB"/>
              </w:rPr>
              <w:t xml:space="preserve"> to EUR </w:t>
            </w:r>
            <w:r w:rsidR="00E61AF7" w:rsidRPr="00F75EA8">
              <w:rPr>
                <w:noProof/>
                <w:sz w:val="20"/>
                <w:szCs w:val="20"/>
                <w:lang w:eastAsia="en-GB"/>
              </w:rPr>
              <w:t>440</w:t>
            </w:r>
            <w:r w:rsidRPr="00F75EA8">
              <w:rPr>
                <w:noProof/>
                <w:sz w:val="20"/>
                <w:szCs w:val="20"/>
                <w:lang w:eastAsia="en-GB"/>
              </w:rPr>
              <w:t xml:space="preserve"> million</w:t>
            </w:r>
            <w:r w:rsidR="00EF4709" w:rsidRPr="00F75EA8">
              <w:rPr>
                <w:noProof/>
                <w:sz w:val="20"/>
                <w:szCs w:val="20"/>
                <w:lang w:eastAsia="en-GB"/>
              </w:rPr>
              <w:t xml:space="preserve"> removed</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7AACCE0A" w14:textId="06435E76" w:rsidR="00B8622B" w:rsidRDefault="00B8622B" w:rsidP="00A6587E">
            <w:pPr>
              <w:jc w:val="center"/>
              <w:rPr>
                <w:noProof/>
                <w:sz w:val="20"/>
                <w:szCs w:val="20"/>
                <w:lang w:eastAsia="en-GB"/>
              </w:rPr>
            </w:pPr>
          </w:p>
        </w:tc>
        <w:tc>
          <w:tcPr>
            <w:tcW w:w="2131" w:type="dxa"/>
            <w:tcBorders>
              <w:top w:val="nil"/>
              <w:left w:val="nil"/>
              <w:bottom w:val="single" w:sz="8" w:space="0" w:color="auto"/>
              <w:right w:val="double" w:sz="4" w:space="0" w:color="auto"/>
            </w:tcBorders>
            <w:vAlign w:val="center"/>
          </w:tcPr>
          <w:p w14:paraId="251509D3" w14:textId="1F42A4C5" w:rsidR="00B8622B" w:rsidRDefault="00072391" w:rsidP="00A6587E">
            <w:pPr>
              <w:jc w:val="center"/>
              <w:rPr>
                <w:noProof/>
                <w:sz w:val="20"/>
                <w:szCs w:val="20"/>
                <w:lang w:eastAsia="en-GB"/>
              </w:rPr>
            </w:pPr>
            <w:r w:rsidRPr="00F75EA8">
              <w:rPr>
                <w:noProof/>
                <w:sz w:val="20"/>
                <w:szCs w:val="20"/>
                <w:lang w:eastAsia="en-GB"/>
              </w:rPr>
              <w:t>EUR </w:t>
            </w:r>
            <w:r w:rsidR="00E61AF7" w:rsidRPr="00F75EA8">
              <w:rPr>
                <w:noProof/>
                <w:sz w:val="20"/>
                <w:szCs w:val="20"/>
                <w:lang w:eastAsia="en-GB"/>
              </w:rPr>
              <w:t>328</w:t>
            </w:r>
            <w:r w:rsidRPr="00F75EA8">
              <w:rPr>
                <w:noProof/>
                <w:sz w:val="20"/>
                <w:szCs w:val="20"/>
                <w:lang w:eastAsia="en-GB"/>
              </w:rPr>
              <w:t xml:space="preserve"> to EUR </w:t>
            </w:r>
            <w:r w:rsidR="00E61AF7" w:rsidRPr="00F75EA8">
              <w:rPr>
                <w:noProof/>
                <w:sz w:val="20"/>
                <w:szCs w:val="20"/>
                <w:lang w:eastAsia="en-GB"/>
              </w:rPr>
              <w:t>440</w:t>
            </w:r>
            <w:r w:rsidRPr="00F75EA8">
              <w:rPr>
                <w:noProof/>
                <w:sz w:val="20"/>
                <w:szCs w:val="20"/>
                <w:lang w:eastAsia="en-GB"/>
              </w:rPr>
              <w:t xml:space="preserve"> million </w:t>
            </w:r>
            <w:r w:rsidR="004F2B0F" w:rsidRPr="00F75EA8">
              <w:rPr>
                <w:noProof/>
                <w:sz w:val="20"/>
                <w:szCs w:val="20"/>
                <w:lang w:eastAsia="en-GB"/>
              </w:rPr>
              <w:t>(</w:t>
            </w:r>
            <w:r w:rsidRPr="00F75EA8">
              <w:rPr>
                <w:noProof/>
                <w:sz w:val="20"/>
                <w:szCs w:val="20"/>
                <w:lang w:eastAsia="en-GB"/>
              </w:rPr>
              <w:t>OUTs</w:t>
            </w:r>
            <w:r w:rsidR="004F2B0F" w:rsidRPr="00F75EA8">
              <w:rPr>
                <w:noProof/>
                <w:sz w:val="20"/>
                <w:szCs w:val="20"/>
                <w:lang w:eastAsia="en-GB"/>
              </w:rPr>
              <w:t>)</w:t>
            </w:r>
          </w:p>
        </w:tc>
      </w:tr>
      <w:tr w:rsidR="00E53309" w14:paraId="2D3BEF2B" w14:textId="3326A0B8" w:rsidTr="00F75EA8">
        <w:trPr>
          <w:trHeight w:val="549"/>
        </w:trPr>
        <w:tc>
          <w:tcPr>
            <w:tcW w:w="2540"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2B34A557" w14:textId="493D6ACA" w:rsidR="00B8622B" w:rsidRDefault="00B8622B" w:rsidP="00A6587E">
            <w:pPr>
              <w:spacing w:before="60" w:after="60"/>
              <w:ind w:left="284"/>
              <w:jc w:val="left"/>
              <w:rPr>
                <w:i/>
                <w:iCs/>
                <w:noProof/>
                <w:sz w:val="20"/>
                <w:szCs w:val="20"/>
              </w:rPr>
            </w:pPr>
            <w:bookmarkStart w:id="24" w:name="_Hlk126312690"/>
            <w:r>
              <w:rPr>
                <w:noProof/>
                <w:sz w:val="20"/>
                <w:szCs w:val="20"/>
              </w:rPr>
              <w:t>Adjustment costs</w:t>
            </w:r>
            <w:r w:rsidR="000E345B">
              <w:rPr>
                <w:noProof/>
                <w:sz w:val="20"/>
                <w:szCs w:val="20"/>
              </w:rPr>
              <w:t>**</w:t>
            </w:r>
          </w:p>
        </w:tc>
        <w:tc>
          <w:tcPr>
            <w:tcW w:w="2705" w:type="dxa"/>
            <w:tcBorders>
              <w:top w:val="single" w:sz="8" w:space="0" w:color="auto"/>
              <w:left w:val="nil"/>
              <w:bottom w:val="double" w:sz="4" w:space="0" w:color="auto"/>
              <w:right w:val="single" w:sz="8" w:space="0" w:color="auto"/>
            </w:tcBorders>
            <w:tcMar>
              <w:top w:w="0" w:type="dxa"/>
              <w:left w:w="108" w:type="dxa"/>
              <w:bottom w:w="0" w:type="dxa"/>
              <w:right w:w="108" w:type="dxa"/>
            </w:tcMar>
            <w:vAlign w:val="center"/>
            <w:hideMark/>
          </w:tcPr>
          <w:p w14:paraId="7739E637" w14:textId="734692FA" w:rsidR="00B8622B" w:rsidRDefault="00B8622B" w:rsidP="00A6587E">
            <w:pPr>
              <w:spacing w:before="60" w:after="60"/>
              <w:jc w:val="center"/>
              <w:rPr>
                <w:noProof/>
                <w:sz w:val="20"/>
                <w:szCs w:val="20"/>
              </w:rPr>
            </w:pPr>
          </w:p>
        </w:tc>
        <w:tc>
          <w:tcPr>
            <w:tcW w:w="2977" w:type="dxa"/>
            <w:tcBorders>
              <w:top w:val="nil"/>
              <w:left w:val="single" w:sz="8" w:space="0" w:color="auto"/>
              <w:bottom w:val="double" w:sz="4" w:space="0" w:color="auto"/>
              <w:right w:val="double" w:sz="4" w:space="0" w:color="auto"/>
            </w:tcBorders>
            <w:vAlign w:val="center"/>
          </w:tcPr>
          <w:p w14:paraId="1DB7BF8B" w14:textId="4EDFB545" w:rsidR="00B8622B" w:rsidRDefault="00B8622B" w:rsidP="00A6587E">
            <w:pPr>
              <w:spacing w:before="60" w:after="60"/>
              <w:jc w:val="center"/>
              <w:rPr>
                <w:noProof/>
                <w:sz w:val="20"/>
                <w:szCs w:val="20"/>
              </w:rPr>
            </w:pPr>
          </w:p>
        </w:tc>
        <w:tc>
          <w:tcPr>
            <w:tcW w:w="2131" w:type="dxa"/>
            <w:tcBorders>
              <w:top w:val="single" w:sz="8" w:space="0" w:color="auto"/>
              <w:left w:val="single" w:sz="4" w:space="0" w:color="auto"/>
              <w:bottom w:val="double" w:sz="4" w:space="0" w:color="auto"/>
              <w:right w:val="double" w:sz="4" w:space="0" w:color="auto"/>
              <w:tl2br w:val="double" w:sz="4" w:space="0" w:color="auto"/>
            </w:tcBorders>
            <w:vAlign w:val="center"/>
          </w:tcPr>
          <w:p w14:paraId="6BF08E1B" w14:textId="77777777" w:rsidR="00B8622B" w:rsidRDefault="00B8622B" w:rsidP="00A6587E">
            <w:pPr>
              <w:spacing w:before="60" w:after="60"/>
              <w:jc w:val="center"/>
              <w:rPr>
                <w:noProof/>
                <w:sz w:val="20"/>
                <w:szCs w:val="20"/>
              </w:rPr>
            </w:pPr>
          </w:p>
        </w:tc>
        <w:bookmarkEnd w:id="24"/>
      </w:tr>
      <w:tr w:rsidR="00E53309" w14:paraId="1144E39A" w14:textId="7EE0CB25" w:rsidTr="00F75EA8">
        <w:trPr>
          <w:trHeight w:val="467"/>
        </w:trPr>
        <w:tc>
          <w:tcPr>
            <w:tcW w:w="2540" w:type="dxa"/>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tcPr>
          <w:p w14:paraId="2932600B" w14:textId="47CE971A" w:rsidR="00B8622B" w:rsidRDefault="00B8622B" w:rsidP="00A6587E">
            <w:pPr>
              <w:spacing w:before="60" w:after="60"/>
              <w:ind w:left="35"/>
              <w:jc w:val="left"/>
              <w:rPr>
                <w:noProof/>
                <w:sz w:val="20"/>
                <w:szCs w:val="20"/>
              </w:rPr>
            </w:pPr>
            <w:r>
              <w:rPr>
                <w:b/>
                <w:bCs/>
                <w:noProof/>
                <w:sz w:val="20"/>
                <w:szCs w:val="20"/>
              </w:rPr>
              <w:t>T</w:t>
            </w:r>
            <w:r w:rsidR="00A6587E">
              <w:rPr>
                <w:b/>
                <w:bCs/>
                <w:noProof/>
                <w:sz w:val="20"/>
                <w:szCs w:val="20"/>
              </w:rPr>
              <w:t>otal administrative burdens</w:t>
            </w:r>
            <w:r w:rsidR="000E345B">
              <w:rPr>
                <w:b/>
                <w:bCs/>
                <w:noProof/>
                <w:sz w:val="20"/>
                <w:szCs w:val="20"/>
              </w:rPr>
              <w:t>***</w:t>
            </w:r>
          </w:p>
        </w:tc>
        <w:tc>
          <w:tcPr>
            <w:tcW w:w="2705" w:type="dxa"/>
            <w:tcBorders>
              <w:top w:val="double" w:sz="4" w:space="0" w:color="auto"/>
              <w:left w:val="nil"/>
              <w:bottom w:val="double" w:sz="4" w:space="0" w:color="auto"/>
              <w:right w:val="single" w:sz="8" w:space="0" w:color="auto"/>
            </w:tcBorders>
            <w:tcMar>
              <w:top w:w="0" w:type="dxa"/>
              <w:left w:w="108" w:type="dxa"/>
              <w:bottom w:w="0" w:type="dxa"/>
              <w:right w:w="108" w:type="dxa"/>
            </w:tcMar>
            <w:vAlign w:val="center"/>
          </w:tcPr>
          <w:p w14:paraId="0C9B4085" w14:textId="1C1DAFA0" w:rsidR="00B8622B" w:rsidRPr="00315B43" w:rsidRDefault="002B13FB" w:rsidP="00B8622B">
            <w:pPr>
              <w:spacing w:before="60" w:after="60"/>
              <w:jc w:val="center"/>
              <w:rPr>
                <w:b/>
                <w:bCs/>
                <w:i/>
                <w:iCs/>
                <w:noProof/>
                <w:sz w:val="20"/>
                <w:szCs w:val="20"/>
              </w:rPr>
            </w:pPr>
            <w:r w:rsidRPr="00F75EA8">
              <w:rPr>
                <w:noProof/>
                <w:sz w:val="20"/>
                <w:szCs w:val="20"/>
                <w:lang w:eastAsia="en-GB"/>
              </w:rPr>
              <w:t>EUR </w:t>
            </w:r>
            <w:r w:rsidR="00EF4709" w:rsidRPr="00F75EA8">
              <w:rPr>
                <w:noProof/>
                <w:sz w:val="20"/>
                <w:szCs w:val="20"/>
                <w:lang w:eastAsia="en-GB"/>
              </w:rPr>
              <w:t>328 to EUR 440</w:t>
            </w:r>
            <w:r w:rsidRPr="00F75EA8">
              <w:rPr>
                <w:noProof/>
                <w:sz w:val="20"/>
                <w:szCs w:val="20"/>
                <w:lang w:eastAsia="en-GB"/>
              </w:rPr>
              <w:t xml:space="preserve"> million </w:t>
            </w:r>
            <w:r w:rsidR="00EF4709" w:rsidRPr="00F75EA8">
              <w:rPr>
                <w:noProof/>
                <w:sz w:val="20"/>
                <w:szCs w:val="20"/>
                <w:lang w:eastAsia="en-GB"/>
              </w:rPr>
              <w:t>(</w:t>
            </w:r>
            <w:r w:rsidRPr="00F75EA8">
              <w:rPr>
                <w:noProof/>
                <w:sz w:val="20"/>
                <w:szCs w:val="20"/>
                <w:lang w:eastAsia="en-GB"/>
              </w:rPr>
              <w:t>OUTs</w:t>
            </w:r>
            <w:r w:rsidR="00EF4709" w:rsidRPr="00F75EA8">
              <w:rPr>
                <w:noProof/>
                <w:sz w:val="20"/>
                <w:szCs w:val="20"/>
                <w:lang w:eastAsia="en-GB"/>
              </w:rPr>
              <w:t>)</w:t>
            </w:r>
          </w:p>
        </w:tc>
        <w:tc>
          <w:tcPr>
            <w:tcW w:w="2977" w:type="dxa"/>
            <w:tcBorders>
              <w:top w:val="double" w:sz="4" w:space="0" w:color="auto"/>
              <w:left w:val="single" w:sz="8" w:space="0" w:color="auto"/>
              <w:bottom w:val="double" w:sz="4" w:space="0" w:color="auto"/>
              <w:right w:val="double" w:sz="4" w:space="0" w:color="auto"/>
            </w:tcBorders>
            <w:vAlign w:val="center"/>
          </w:tcPr>
          <w:p w14:paraId="3B06DC79" w14:textId="77777777" w:rsidR="00B8622B" w:rsidRPr="00315B43" w:rsidRDefault="00B8622B" w:rsidP="00B8622B">
            <w:pPr>
              <w:spacing w:before="60" w:after="60"/>
              <w:jc w:val="center"/>
              <w:rPr>
                <w:b/>
                <w:bCs/>
                <w:noProof/>
                <w:sz w:val="20"/>
                <w:szCs w:val="20"/>
              </w:rPr>
            </w:pPr>
          </w:p>
        </w:tc>
        <w:tc>
          <w:tcPr>
            <w:tcW w:w="2131" w:type="dxa"/>
            <w:tcBorders>
              <w:top w:val="double" w:sz="4" w:space="0" w:color="auto"/>
              <w:left w:val="single" w:sz="4" w:space="0" w:color="auto"/>
              <w:bottom w:val="double" w:sz="4" w:space="0" w:color="auto"/>
              <w:right w:val="double" w:sz="4" w:space="0" w:color="auto"/>
            </w:tcBorders>
            <w:vAlign w:val="center"/>
          </w:tcPr>
          <w:p w14:paraId="10DE3E0F" w14:textId="77777777" w:rsidR="00B8622B" w:rsidRPr="00315B43" w:rsidRDefault="00B8622B" w:rsidP="00315B43">
            <w:pPr>
              <w:spacing w:before="60" w:after="60"/>
              <w:jc w:val="center"/>
              <w:rPr>
                <w:b/>
                <w:bCs/>
                <w:noProof/>
                <w:sz w:val="20"/>
                <w:szCs w:val="20"/>
              </w:rPr>
            </w:pPr>
          </w:p>
        </w:tc>
      </w:tr>
    </w:tbl>
    <w:p w14:paraId="669A808F" w14:textId="77777777" w:rsidR="000E345B" w:rsidRDefault="003506A0" w:rsidP="000E345B">
      <w:pPr>
        <w:spacing w:after="0"/>
        <w:ind w:left="-567"/>
        <w:rPr>
          <w:i/>
          <w:iCs/>
          <w:noProof/>
          <w:sz w:val="20"/>
          <w:szCs w:val="20"/>
        </w:rPr>
      </w:pPr>
      <w:r w:rsidRPr="00315B43">
        <w:rPr>
          <w:i/>
          <w:iCs/>
          <w:noProof/>
          <w:sz w:val="20"/>
          <w:szCs w:val="20"/>
        </w:rPr>
        <w:t>(</w:t>
      </w:r>
      <w:r w:rsidR="000E345B">
        <w:rPr>
          <w:i/>
          <w:iCs/>
          <w:noProof/>
          <w:sz w:val="20"/>
          <w:szCs w:val="20"/>
        </w:rPr>
        <w:t>*</w:t>
      </w:r>
      <w:r w:rsidRPr="00315B43">
        <w:rPr>
          <w:i/>
          <w:iCs/>
          <w:noProof/>
          <w:sz w:val="20"/>
          <w:szCs w:val="20"/>
        </w:rPr>
        <w:t xml:space="preserve">) Net administrative burdens = INs – OUTs; </w:t>
      </w:r>
    </w:p>
    <w:p w14:paraId="1B757999" w14:textId="77777777" w:rsidR="000E345B" w:rsidRDefault="003506A0" w:rsidP="000E345B">
      <w:pPr>
        <w:spacing w:after="0"/>
        <w:ind w:left="-567"/>
        <w:rPr>
          <w:i/>
          <w:iCs/>
          <w:noProof/>
          <w:sz w:val="20"/>
          <w:szCs w:val="20"/>
        </w:rPr>
      </w:pPr>
      <w:r w:rsidRPr="00315B43">
        <w:rPr>
          <w:i/>
          <w:iCs/>
          <w:noProof/>
          <w:sz w:val="20"/>
          <w:szCs w:val="20"/>
        </w:rPr>
        <w:t>(</w:t>
      </w:r>
      <w:r w:rsidR="000E345B">
        <w:rPr>
          <w:i/>
          <w:iCs/>
          <w:noProof/>
          <w:sz w:val="20"/>
          <w:szCs w:val="20"/>
        </w:rPr>
        <w:t>**</w:t>
      </w:r>
      <w:r w:rsidRPr="00315B43">
        <w:rPr>
          <w:i/>
          <w:iCs/>
          <w:noProof/>
          <w:sz w:val="20"/>
          <w:szCs w:val="20"/>
        </w:rPr>
        <w:t>) Adjustment costs falling under the scope of the OIOO approach are the same as reported in Table 2 above.</w:t>
      </w:r>
      <w:bookmarkEnd w:id="22"/>
      <w:r w:rsidR="00315B43">
        <w:rPr>
          <w:i/>
          <w:iCs/>
          <w:noProof/>
          <w:sz w:val="20"/>
          <w:szCs w:val="20"/>
        </w:rPr>
        <w:t xml:space="preserve"> Non-annualised values</w:t>
      </w:r>
      <w:r w:rsidR="00E53309">
        <w:rPr>
          <w:i/>
          <w:iCs/>
          <w:noProof/>
          <w:sz w:val="20"/>
          <w:szCs w:val="20"/>
        </w:rPr>
        <w:t xml:space="preserve">; </w:t>
      </w:r>
    </w:p>
    <w:p w14:paraId="27E25A66" w14:textId="2D85116F" w:rsidR="00DE5227" w:rsidRPr="00F92EAE" w:rsidRDefault="00E53309" w:rsidP="00E118EF">
      <w:pPr>
        <w:ind w:left="-567"/>
        <w:rPr>
          <w:noProof/>
        </w:rPr>
      </w:pPr>
      <w:r>
        <w:rPr>
          <w:i/>
          <w:iCs/>
          <w:noProof/>
          <w:sz w:val="20"/>
          <w:szCs w:val="20"/>
        </w:rPr>
        <w:t>(</w:t>
      </w:r>
      <w:r w:rsidR="000E345B">
        <w:rPr>
          <w:i/>
          <w:iCs/>
          <w:noProof/>
          <w:sz w:val="20"/>
          <w:szCs w:val="20"/>
        </w:rPr>
        <w:t>***</w:t>
      </w:r>
      <w:r>
        <w:rPr>
          <w:i/>
          <w:iCs/>
          <w:noProof/>
          <w:sz w:val="20"/>
          <w:szCs w:val="20"/>
        </w:rPr>
        <w:t xml:space="preserve">) Total administrative burdens = Net administrative burdens for businesses + net administrative burdens </w:t>
      </w:r>
      <w:r w:rsidR="00A7742A">
        <w:rPr>
          <w:i/>
          <w:iCs/>
          <w:noProof/>
          <w:sz w:val="20"/>
          <w:szCs w:val="20"/>
        </w:rPr>
        <w:t>for</w:t>
      </w:r>
      <w:r>
        <w:rPr>
          <w:i/>
          <w:iCs/>
          <w:noProof/>
          <w:sz w:val="20"/>
          <w:szCs w:val="20"/>
        </w:rPr>
        <w:t xml:space="preserve"> citizens.</w:t>
      </w:r>
    </w:p>
    <w:p w14:paraId="3AEA704F" w14:textId="49D4DFA2" w:rsidR="009409F1" w:rsidRPr="007073AD" w:rsidRDefault="00BB2C31">
      <w:pPr>
        <w:pStyle w:val="Heading1"/>
        <w:numPr>
          <w:ilvl w:val="0"/>
          <w:numId w:val="5"/>
        </w:numPr>
        <w:rPr>
          <w:noProof/>
          <w:lang w:val="en-IE"/>
        </w:rPr>
      </w:pPr>
      <w:bookmarkStart w:id="25" w:name="_Toc219390723"/>
      <w:r w:rsidRPr="007073AD">
        <w:rPr>
          <w:noProof/>
          <w:lang w:val="en-IE"/>
        </w:rPr>
        <w:t>Relevant sustainable development goals</w:t>
      </w:r>
      <w:bookmarkEnd w:id="25"/>
    </w:p>
    <w:tbl>
      <w:tblPr>
        <w:tblStyle w:val="CV11"/>
        <w:tblW w:w="10377"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52"/>
        <w:gridCol w:w="4111"/>
        <w:gridCol w:w="3714"/>
      </w:tblGrid>
      <w:tr w:rsidR="00894730" w:rsidRPr="00F92EAE" w14:paraId="01C2396A" w14:textId="77777777" w:rsidTr="002848A1">
        <w:tc>
          <w:tcPr>
            <w:tcW w:w="10377" w:type="dxa"/>
            <w:gridSpan w:val="3"/>
            <w:tcBorders>
              <w:top w:val="double" w:sz="4" w:space="0" w:color="auto"/>
              <w:bottom w:val="single" w:sz="4" w:space="0" w:color="auto"/>
            </w:tcBorders>
            <w:shd w:val="clear" w:color="auto" w:fill="C6D9F1" w:themeFill="text2" w:themeFillTint="33"/>
          </w:tcPr>
          <w:p w14:paraId="4EE351B4" w14:textId="710EB024" w:rsidR="009409F1" w:rsidRPr="00F92EAE" w:rsidRDefault="00315B43" w:rsidP="009D4C15">
            <w:pPr>
              <w:spacing w:after="0"/>
              <w:rPr>
                <w:b/>
                <w:noProof/>
                <w:sz w:val="20"/>
              </w:rPr>
            </w:pPr>
            <w:r w:rsidRPr="00F92EAE">
              <w:rPr>
                <w:b/>
                <w:noProof/>
                <w:sz w:val="20"/>
              </w:rPr>
              <w:t>I</w:t>
            </w:r>
            <w:r>
              <w:rPr>
                <w:b/>
                <w:noProof/>
                <w:sz w:val="20"/>
              </w:rPr>
              <w:t>V</w:t>
            </w:r>
            <w:r w:rsidR="009409F1" w:rsidRPr="00F92EAE">
              <w:rPr>
                <w:b/>
                <w:noProof/>
                <w:sz w:val="20"/>
              </w:rPr>
              <w:t>. Overview of relevant Sustainable Development Goals – Preferred Option(s)</w:t>
            </w:r>
          </w:p>
        </w:tc>
      </w:tr>
      <w:tr w:rsidR="001F3961" w:rsidRPr="00F92EAE" w14:paraId="0CE86597" w14:textId="77777777" w:rsidTr="002848A1">
        <w:tc>
          <w:tcPr>
            <w:tcW w:w="2552" w:type="dxa"/>
            <w:tcBorders>
              <w:top w:val="single" w:sz="4" w:space="0" w:color="auto"/>
            </w:tcBorders>
            <w:shd w:val="clear" w:color="auto" w:fill="C6D9F1" w:themeFill="text2" w:themeFillTint="33"/>
          </w:tcPr>
          <w:p w14:paraId="132154E1" w14:textId="77777777" w:rsidR="009409F1" w:rsidRPr="00F92EAE" w:rsidRDefault="009409F1" w:rsidP="009D4C15">
            <w:pPr>
              <w:spacing w:after="0"/>
              <w:rPr>
                <w:b/>
                <w:noProof/>
                <w:sz w:val="20"/>
              </w:rPr>
            </w:pPr>
            <w:r w:rsidRPr="00F92EAE">
              <w:rPr>
                <w:b/>
                <w:noProof/>
                <w:sz w:val="20"/>
              </w:rPr>
              <w:t>Relevant SDG</w:t>
            </w:r>
          </w:p>
        </w:tc>
        <w:tc>
          <w:tcPr>
            <w:tcW w:w="4111" w:type="dxa"/>
            <w:tcBorders>
              <w:top w:val="single" w:sz="4" w:space="0" w:color="auto"/>
            </w:tcBorders>
            <w:shd w:val="clear" w:color="auto" w:fill="C6D9F1" w:themeFill="text2" w:themeFillTint="33"/>
          </w:tcPr>
          <w:p w14:paraId="00C1E627" w14:textId="77777777" w:rsidR="009409F1" w:rsidRPr="00F92EAE" w:rsidRDefault="009409F1" w:rsidP="009D4C15">
            <w:pPr>
              <w:spacing w:after="0"/>
              <w:rPr>
                <w:b/>
                <w:noProof/>
                <w:sz w:val="20"/>
              </w:rPr>
            </w:pPr>
            <w:r w:rsidRPr="00F92EAE">
              <w:rPr>
                <w:b/>
                <w:noProof/>
                <w:sz w:val="20"/>
              </w:rPr>
              <w:t>Expected progress towards the Goal</w:t>
            </w:r>
          </w:p>
        </w:tc>
        <w:tc>
          <w:tcPr>
            <w:tcW w:w="3714" w:type="dxa"/>
            <w:tcBorders>
              <w:top w:val="single" w:sz="4" w:space="0" w:color="auto"/>
            </w:tcBorders>
            <w:shd w:val="clear" w:color="auto" w:fill="C6D9F1" w:themeFill="text2" w:themeFillTint="33"/>
            <w:tcMar>
              <w:top w:w="57" w:type="dxa"/>
              <w:left w:w="57" w:type="dxa"/>
              <w:bottom w:w="57" w:type="dxa"/>
              <w:right w:w="57" w:type="dxa"/>
            </w:tcMar>
          </w:tcPr>
          <w:p w14:paraId="29A7294E" w14:textId="77777777" w:rsidR="009409F1" w:rsidRPr="00F92EAE" w:rsidRDefault="009409F1" w:rsidP="009D4C15">
            <w:pPr>
              <w:spacing w:after="0"/>
              <w:rPr>
                <w:b/>
                <w:noProof/>
                <w:sz w:val="20"/>
              </w:rPr>
            </w:pPr>
            <w:r w:rsidRPr="00F92EAE">
              <w:rPr>
                <w:b/>
                <w:noProof/>
                <w:sz w:val="20"/>
              </w:rPr>
              <w:t>Comments</w:t>
            </w:r>
          </w:p>
        </w:tc>
      </w:tr>
      <w:tr w:rsidR="00003642" w:rsidRPr="00F92EAE" w14:paraId="4CCA0544" w14:textId="77777777" w:rsidTr="00D26D7E">
        <w:tc>
          <w:tcPr>
            <w:tcW w:w="2552" w:type="dxa"/>
            <w:tcBorders>
              <w:top w:val="double" w:sz="4" w:space="0" w:color="auto"/>
              <w:bottom w:val="double" w:sz="4" w:space="0" w:color="auto"/>
            </w:tcBorders>
          </w:tcPr>
          <w:p w14:paraId="4A8DFF13" w14:textId="453B4B0B" w:rsidR="00487DC3" w:rsidRPr="00F92EAE" w:rsidRDefault="00487DC3" w:rsidP="00487DC3">
            <w:pPr>
              <w:spacing w:after="0"/>
              <w:rPr>
                <w:noProof/>
                <w:sz w:val="20"/>
              </w:rPr>
            </w:pPr>
            <w:r>
              <w:rPr>
                <w:noProof/>
                <w:sz w:val="20"/>
              </w:rPr>
              <w:t>SDG8</w:t>
            </w:r>
            <w:r w:rsidRPr="00F35D30">
              <w:rPr>
                <w:noProof/>
                <w:sz w:val="20"/>
              </w:rPr>
              <w:t xml:space="preserve"> </w:t>
            </w:r>
            <w:r w:rsidR="00A34366">
              <w:rPr>
                <w:noProof/>
                <w:sz w:val="20"/>
              </w:rPr>
              <w:t>D</w:t>
            </w:r>
            <w:r w:rsidRPr="00F35D30">
              <w:rPr>
                <w:noProof/>
                <w:sz w:val="20"/>
              </w:rPr>
              <w:t>ecent work and economic growth</w:t>
            </w:r>
          </w:p>
        </w:tc>
        <w:tc>
          <w:tcPr>
            <w:tcW w:w="4111" w:type="dxa"/>
            <w:tcBorders>
              <w:top w:val="double" w:sz="4" w:space="0" w:color="auto"/>
              <w:bottom w:val="double" w:sz="4" w:space="0" w:color="auto"/>
            </w:tcBorders>
            <w:tcMar>
              <w:top w:w="57" w:type="dxa"/>
              <w:left w:w="57" w:type="dxa"/>
              <w:bottom w:w="57" w:type="dxa"/>
              <w:right w:w="57" w:type="dxa"/>
            </w:tcMar>
          </w:tcPr>
          <w:p w14:paraId="447F5A59" w14:textId="2B2A7921" w:rsidR="00487DC3" w:rsidRPr="00F92EAE" w:rsidRDefault="00487DC3" w:rsidP="00487DC3">
            <w:pPr>
              <w:spacing w:after="0"/>
              <w:rPr>
                <w:noProof/>
                <w:sz w:val="20"/>
              </w:rPr>
            </w:pPr>
            <w:r>
              <w:rPr>
                <w:noProof/>
                <w:sz w:val="20"/>
              </w:rPr>
              <w:t xml:space="preserve">This initiative will contribute </w:t>
            </w:r>
            <w:r w:rsidR="00D26D7E">
              <w:rPr>
                <w:noProof/>
                <w:sz w:val="20"/>
              </w:rPr>
              <w:t>in</w:t>
            </w:r>
            <w:r>
              <w:rPr>
                <w:noProof/>
                <w:sz w:val="20"/>
              </w:rPr>
              <w:t>directly to economic growth as it will enhance the business environment in the Single Market</w:t>
            </w:r>
          </w:p>
        </w:tc>
        <w:tc>
          <w:tcPr>
            <w:tcW w:w="3714" w:type="dxa"/>
            <w:tcBorders>
              <w:top w:val="double" w:sz="4" w:space="0" w:color="auto"/>
              <w:bottom w:val="double" w:sz="4" w:space="0" w:color="auto"/>
            </w:tcBorders>
            <w:tcMar>
              <w:top w:w="57" w:type="dxa"/>
              <w:left w:w="57" w:type="dxa"/>
              <w:bottom w:w="57" w:type="dxa"/>
              <w:right w:w="57" w:type="dxa"/>
            </w:tcMar>
          </w:tcPr>
          <w:p w14:paraId="64B9F3C7" w14:textId="56B08969" w:rsidR="00487DC3" w:rsidRPr="00F92EAE" w:rsidRDefault="005930D8" w:rsidP="00487DC3">
            <w:pPr>
              <w:spacing w:after="0"/>
              <w:rPr>
                <w:noProof/>
                <w:sz w:val="20"/>
              </w:rPr>
            </w:pPr>
            <w:r>
              <w:rPr>
                <w:noProof/>
                <w:sz w:val="20"/>
              </w:rPr>
              <w:t xml:space="preserve">SDG8 </w:t>
            </w:r>
            <w:r w:rsidR="00B95934">
              <w:rPr>
                <w:noProof/>
                <w:sz w:val="20"/>
              </w:rPr>
              <w:t>mi</w:t>
            </w:r>
            <w:r>
              <w:rPr>
                <w:noProof/>
                <w:sz w:val="20"/>
              </w:rPr>
              <w:t xml:space="preserve">ssion statement: </w:t>
            </w:r>
            <w:r w:rsidRPr="005930D8">
              <w:rPr>
                <w:noProof/>
                <w:sz w:val="20"/>
              </w:rPr>
              <w:t>"Promote sustained, inclusive and sustainable economic growth, full and productive employment and decent work for all"</w:t>
            </w:r>
            <w:r w:rsidR="00B95934">
              <w:rPr>
                <w:noProof/>
                <w:sz w:val="20"/>
              </w:rPr>
              <w:t>.</w:t>
            </w:r>
          </w:p>
        </w:tc>
      </w:tr>
      <w:tr w:rsidR="00003642" w:rsidRPr="00F92EAE" w14:paraId="650C9031" w14:textId="77777777" w:rsidTr="00D26D7E">
        <w:tc>
          <w:tcPr>
            <w:tcW w:w="2552" w:type="dxa"/>
            <w:tcBorders>
              <w:top w:val="double" w:sz="4" w:space="0" w:color="auto"/>
              <w:bottom w:val="double" w:sz="4" w:space="0" w:color="auto"/>
            </w:tcBorders>
          </w:tcPr>
          <w:p w14:paraId="6FAFE4DB" w14:textId="2FDF04E2" w:rsidR="00D26D7E" w:rsidRDefault="00FA6880" w:rsidP="6B9DAD21">
            <w:pPr>
              <w:spacing w:after="0"/>
              <w:rPr>
                <w:noProof/>
                <w:sz w:val="20"/>
                <w:szCs w:val="20"/>
              </w:rPr>
            </w:pPr>
            <w:r w:rsidRPr="6B9DAD21">
              <w:rPr>
                <w:noProof/>
                <w:sz w:val="20"/>
                <w:szCs w:val="20"/>
              </w:rPr>
              <w:t>SDG10 Reduce inequalit</w:t>
            </w:r>
            <w:r w:rsidR="005930D8" w:rsidRPr="6B9DAD21">
              <w:rPr>
                <w:noProof/>
                <w:sz w:val="20"/>
                <w:szCs w:val="20"/>
              </w:rPr>
              <w:t>ies</w:t>
            </w:r>
            <w:r>
              <w:rPr>
                <w:noProof/>
                <w:sz w:val="20"/>
                <w:szCs w:val="20"/>
              </w:rPr>
              <w:t xml:space="preserve"> within and among countries</w:t>
            </w:r>
          </w:p>
        </w:tc>
        <w:tc>
          <w:tcPr>
            <w:tcW w:w="4111" w:type="dxa"/>
            <w:tcBorders>
              <w:top w:val="double" w:sz="4" w:space="0" w:color="auto"/>
              <w:bottom w:val="double" w:sz="4" w:space="0" w:color="auto"/>
            </w:tcBorders>
            <w:tcMar>
              <w:top w:w="57" w:type="dxa"/>
              <w:left w:w="57" w:type="dxa"/>
              <w:bottom w:w="57" w:type="dxa"/>
              <w:right w:w="57" w:type="dxa"/>
            </w:tcMar>
          </w:tcPr>
          <w:p w14:paraId="49EB8F82" w14:textId="0D61A300" w:rsidR="00D26D7E" w:rsidRDefault="000A4924" w:rsidP="007D7594">
            <w:pPr>
              <w:spacing w:after="0"/>
              <w:rPr>
                <w:noProof/>
                <w:sz w:val="20"/>
                <w:szCs w:val="20"/>
              </w:rPr>
            </w:pPr>
            <w:r w:rsidRPr="6B9DAD21">
              <w:rPr>
                <w:noProof/>
                <w:sz w:val="20"/>
                <w:szCs w:val="20"/>
              </w:rPr>
              <w:t xml:space="preserve">This initiative will contribute towards this goal by reducing structural disparities and improving </w:t>
            </w:r>
            <w:r w:rsidR="006E3F96" w:rsidRPr="6B9DAD21">
              <w:rPr>
                <w:noProof/>
                <w:sz w:val="20"/>
                <w:szCs w:val="20"/>
              </w:rPr>
              <w:t xml:space="preserve">companies, including </w:t>
            </w:r>
            <w:r w:rsidRPr="6B9DAD21">
              <w:rPr>
                <w:noProof/>
                <w:sz w:val="20"/>
                <w:szCs w:val="20"/>
              </w:rPr>
              <w:t>SME</w:t>
            </w:r>
            <w:r w:rsidR="006E3F96" w:rsidRPr="6B9DAD21">
              <w:rPr>
                <w:noProof/>
                <w:sz w:val="20"/>
                <w:szCs w:val="20"/>
              </w:rPr>
              <w:t>s</w:t>
            </w:r>
            <w:r w:rsidR="001F4585" w:rsidRPr="6B9DAD21">
              <w:rPr>
                <w:noProof/>
                <w:sz w:val="20"/>
                <w:szCs w:val="20"/>
              </w:rPr>
              <w:t>, startups and scaleups,</w:t>
            </w:r>
            <w:r w:rsidRPr="6B9DAD21">
              <w:rPr>
                <w:noProof/>
                <w:sz w:val="20"/>
                <w:szCs w:val="20"/>
              </w:rPr>
              <w:t xml:space="preserve"> access to cross-border markets</w:t>
            </w:r>
            <w:r w:rsidR="003E5972" w:rsidRPr="6B9DAD21">
              <w:rPr>
                <w:noProof/>
                <w:sz w:val="20"/>
                <w:szCs w:val="20"/>
              </w:rPr>
              <w:t>.</w:t>
            </w:r>
          </w:p>
        </w:tc>
        <w:tc>
          <w:tcPr>
            <w:tcW w:w="3714" w:type="dxa"/>
            <w:tcBorders>
              <w:top w:val="double" w:sz="4" w:space="0" w:color="auto"/>
              <w:bottom w:val="double" w:sz="4" w:space="0" w:color="auto"/>
            </w:tcBorders>
            <w:tcMar>
              <w:top w:w="57" w:type="dxa"/>
              <w:left w:w="57" w:type="dxa"/>
              <w:bottom w:w="57" w:type="dxa"/>
              <w:right w:w="57" w:type="dxa"/>
            </w:tcMar>
          </w:tcPr>
          <w:p w14:paraId="6CED4212" w14:textId="4D946134" w:rsidR="00D26D7E" w:rsidRPr="00F92EAE" w:rsidRDefault="005930D8" w:rsidP="00487DC3">
            <w:pPr>
              <w:spacing w:after="0"/>
              <w:rPr>
                <w:noProof/>
                <w:sz w:val="20"/>
              </w:rPr>
            </w:pPr>
            <w:r>
              <w:rPr>
                <w:noProof/>
                <w:sz w:val="20"/>
              </w:rPr>
              <w:t xml:space="preserve">SDG10 </w:t>
            </w:r>
            <w:r w:rsidR="00B95934">
              <w:rPr>
                <w:noProof/>
                <w:sz w:val="20"/>
              </w:rPr>
              <w:t>m</w:t>
            </w:r>
            <w:r>
              <w:rPr>
                <w:noProof/>
                <w:sz w:val="20"/>
              </w:rPr>
              <w:t xml:space="preserve">ission statement: </w:t>
            </w:r>
            <w:r w:rsidR="00093D0A" w:rsidRPr="00093D0A">
              <w:rPr>
                <w:noProof/>
                <w:sz w:val="20"/>
              </w:rPr>
              <w:t>"Reduce inequality within and among countries"</w:t>
            </w:r>
            <w:r w:rsidR="00B95934">
              <w:rPr>
                <w:noProof/>
                <w:sz w:val="20"/>
              </w:rPr>
              <w:t>.</w:t>
            </w:r>
          </w:p>
        </w:tc>
      </w:tr>
      <w:tr w:rsidR="005C4F00" w:rsidRPr="00F92EAE" w14:paraId="7079D2C2" w14:textId="77777777" w:rsidTr="002848A1">
        <w:tc>
          <w:tcPr>
            <w:tcW w:w="2552" w:type="dxa"/>
            <w:tcBorders>
              <w:top w:val="double" w:sz="4" w:space="0" w:color="auto"/>
              <w:bottom w:val="single" w:sz="4" w:space="0" w:color="auto"/>
            </w:tcBorders>
          </w:tcPr>
          <w:p w14:paraId="2925E0A3" w14:textId="6A1CF45B" w:rsidR="00D26D7E" w:rsidRDefault="003E5972" w:rsidP="6B9DAD21">
            <w:pPr>
              <w:spacing w:after="0"/>
              <w:rPr>
                <w:noProof/>
                <w:sz w:val="20"/>
                <w:szCs w:val="20"/>
              </w:rPr>
            </w:pPr>
            <w:r w:rsidRPr="6B9DAD21">
              <w:rPr>
                <w:noProof/>
                <w:sz w:val="20"/>
                <w:szCs w:val="20"/>
              </w:rPr>
              <w:t xml:space="preserve">SDG17 </w:t>
            </w:r>
            <w:r w:rsidR="0079472B" w:rsidRPr="6B9DAD21">
              <w:rPr>
                <w:noProof/>
                <w:sz w:val="20"/>
                <w:szCs w:val="20"/>
              </w:rPr>
              <w:t>Partnership for the goals</w:t>
            </w:r>
          </w:p>
        </w:tc>
        <w:tc>
          <w:tcPr>
            <w:tcW w:w="4111" w:type="dxa"/>
            <w:tcBorders>
              <w:top w:val="double" w:sz="4" w:space="0" w:color="auto"/>
              <w:bottom w:val="single" w:sz="4" w:space="0" w:color="auto"/>
            </w:tcBorders>
            <w:tcMar>
              <w:top w:w="57" w:type="dxa"/>
              <w:left w:w="57" w:type="dxa"/>
              <w:bottom w:w="57" w:type="dxa"/>
              <w:right w:w="57" w:type="dxa"/>
            </w:tcMar>
          </w:tcPr>
          <w:p w14:paraId="2D278FD4" w14:textId="2FB909C5" w:rsidR="00D26D7E" w:rsidRDefault="003E5972" w:rsidP="00487DC3">
            <w:pPr>
              <w:spacing w:after="0"/>
              <w:rPr>
                <w:noProof/>
                <w:sz w:val="20"/>
              </w:rPr>
            </w:pPr>
            <w:r>
              <w:rPr>
                <w:noProof/>
                <w:sz w:val="20"/>
              </w:rPr>
              <w:t>This initiative will</w:t>
            </w:r>
            <w:r w:rsidR="00C70CDE" w:rsidRPr="00C70CDE">
              <w:rPr>
                <w:noProof/>
                <w:sz w:val="20"/>
              </w:rPr>
              <w:t xml:space="preserve"> foster international cooperation and investment within the Single Market.</w:t>
            </w:r>
          </w:p>
        </w:tc>
        <w:tc>
          <w:tcPr>
            <w:tcW w:w="3714" w:type="dxa"/>
            <w:tcBorders>
              <w:top w:val="double" w:sz="4" w:space="0" w:color="auto"/>
              <w:bottom w:val="single" w:sz="4" w:space="0" w:color="auto"/>
            </w:tcBorders>
            <w:tcMar>
              <w:top w:w="57" w:type="dxa"/>
              <w:left w:w="57" w:type="dxa"/>
              <w:bottom w:w="57" w:type="dxa"/>
              <w:right w:w="57" w:type="dxa"/>
            </w:tcMar>
          </w:tcPr>
          <w:p w14:paraId="61C57DD9" w14:textId="5061DC7C" w:rsidR="00D26D7E" w:rsidRPr="00F92EAE" w:rsidRDefault="00B95934" w:rsidP="00487DC3">
            <w:pPr>
              <w:spacing w:after="0"/>
              <w:rPr>
                <w:noProof/>
                <w:sz w:val="20"/>
              </w:rPr>
            </w:pPr>
            <w:r>
              <w:rPr>
                <w:noProof/>
                <w:sz w:val="20"/>
              </w:rPr>
              <w:t>SDG17 mission statement</w:t>
            </w:r>
            <w:r w:rsidRPr="00B95934">
              <w:rPr>
                <w:noProof/>
                <w:sz w:val="20"/>
              </w:rPr>
              <w:t xml:space="preserve"> "Strengthen the means of implementation and revitalize the global partnership for sustainable development"</w:t>
            </w:r>
            <w:r>
              <w:rPr>
                <w:noProof/>
                <w:sz w:val="20"/>
              </w:rPr>
              <w:t>.</w:t>
            </w:r>
          </w:p>
        </w:tc>
      </w:tr>
    </w:tbl>
    <w:p w14:paraId="1164FCD5" w14:textId="77777777" w:rsidR="009409F1" w:rsidRPr="00F92EAE" w:rsidRDefault="009409F1" w:rsidP="000E3086">
      <w:pPr>
        <w:rPr>
          <w:noProof/>
        </w:rPr>
      </w:pPr>
    </w:p>
    <w:p w14:paraId="5B247505" w14:textId="77777777" w:rsidR="00CF5C52" w:rsidRDefault="00CF5C52">
      <w:pPr>
        <w:spacing w:after="200" w:line="276" w:lineRule="auto"/>
        <w:jc w:val="left"/>
        <w:rPr>
          <w:rFonts w:eastAsia="Times New Roman"/>
          <w:b/>
          <w:smallCaps/>
          <w:noProof/>
          <w:sz w:val="32"/>
          <w:szCs w:val="20"/>
        </w:rPr>
      </w:pPr>
      <w:r>
        <w:rPr>
          <w:noProof/>
        </w:rPr>
        <w:br w:type="page"/>
      </w:r>
    </w:p>
    <w:p w14:paraId="6A4420AA" w14:textId="2EED2801" w:rsidR="006B087E" w:rsidRPr="007073AD" w:rsidRDefault="006B087E" w:rsidP="00C22AB4">
      <w:pPr>
        <w:pStyle w:val="AnnexTitle"/>
        <w:rPr>
          <w:noProof/>
          <w:lang w:val="en-IE"/>
        </w:rPr>
      </w:pPr>
      <w:bookmarkStart w:id="26" w:name="_Toc219390724"/>
      <w:r w:rsidRPr="007073AD">
        <w:rPr>
          <w:noProof/>
          <w:lang w:val="en-IE"/>
        </w:rPr>
        <w:t>Annex 4: Analytical methods</w:t>
      </w:r>
      <w:bookmarkEnd w:id="26"/>
    </w:p>
    <w:p w14:paraId="52A5F6D1" w14:textId="77777777" w:rsidR="006B087E" w:rsidRDefault="006B087E" w:rsidP="000E3086">
      <w:pPr>
        <w:rPr>
          <w:noProof/>
        </w:rPr>
      </w:pPr>
    </w:p>
    <w:p w14:paraId="686E2AC6" w14:textId="4D136D13" w:rsidR="00880055" w:rsidRPr="00F92EAE" w:rsidRDefault="00880055" w:rsidP="000E3086">
      <w:pPr>
        <w:rPr>
          <w:noProof/>
        </w:rPr>
      </w:pPr>
      <w:r>
        <w:rPr>
          <w:noProof/>
        </w:rPr>
        <w:t>[in a separate document]</w:t>
      </w:r>
    </w:p>
    <w:p w14:paraId="43FAA0B1" w14:textId="77777777" w:rsidR="006B087E" w:rsidRPr="00F92EAE" w:rsidRDefault="006B087E" w:rsidP="000E3086">
      <w:pPr>
        <w:rPr>
          <w:noProof/>
        </w:rPr>
      </w:pPr>
      <w:r w:rsidRPr="00F92EAE">
        <w:rPr>
          <w:noProof/>
        </w:rPr>
        <w:br w:type="page"/>
      </w:r>
    </w:p>
    <w:p w14:paraId="00F38E4E" w14:textId="77777777" w:rsidR="006B087E" w:rsidRPr="00F92EAE" w:rsidRDefault="006B087E" w:rsidP="000E3086">
      <w:pPr>
        <w:rPr>
          <w:noProof/>
        </w:rPr>
        <w:sectPr w:rsidR="006B087E" w:rsidRPr="00F92EAE" w:rsidSect="009D4C15">
          <w:headerReference w:type="even" r:id="rId18"/>
          <w:headerReference w:type="default" r:id="rId19"/>
          <w:footerReference w:type="even" r:id="rId20"/>
          <w:footerReference w:type="default" r:id="rId21"/>
          <w:headerReference w:type="first" r:id="rId22"/>
          <w:footerReference w:type="first" r:id="rId23"/>
          <w:pgSz w:w="11906" w:h="16838"/>
          <w:pgMar w:top="1020" w:right="707" w:bottom="1020" w:left="1587" w:header="601" w:footer="1077" w:gutter="0"/>
          <w:cols w:space="720"/>
          <w:titlePg/>
        </w:sectPr>
      </w:pPr>
    </w:p>
    <w:p w14:paraId="0AC67B34" w14:textId="77777777" w:rsidR="00C22AB4" w:rsidRPr="007073AD" w:rsidRDefault="00C22AB4" w:rsidP="00C22AB4">
      <w:pPr>
        <w:pStyle w:val="AnnexTitle"/>
        <w:rPr>
          <w:noProof/>
          <w:lang w:val="en-IE"/>
        </w:rPr>
      </w:pPr>
      <w:bookmarkStart w:id="27" w:name="_Toc219390725"/>
      <w:r w:rsidRPr="007073AD">
        <w:rPr>
          <w:noProof/>
          <w:lang w:val="en-IE"/>
        </w:rPr>
        <w:t>Annex 5: Competitiveness check</w:t>
      </w:r>
      <w:bookmarkEnd w:id="27"/>
    </w:p>
    <w:p w14:paraId="7B712B7D" w14:textId="77777777" w:rsidR="00C22AB4" w:rsidRPr="007073AD" w:rsidRDefault="00C22AB4" w:rsidP="00B87DBD">
      <w:pPr>
        <w:pStyle w:val="Heading1"/>
        <w:numPr>
          <w:ilvl w:val="0"/>
          <w:numId w:val="6"/>
        </w:numPr>
        <w:rPr>
          <w:noProof/>
          <w:lang w:val="en-IE"/>
        </w:rPr>
      </w:pPr>
      <w:bookmarkStart w:id="28" w:name="_Toc219390726"/>
      <w:r w:rsidRPr="007073AD">
        <w:rPr>
          <w:noProof/>
          <w:lang w:val="en-IE"/>
        </w:rPr>
        <w:t>Overview of impacts on competitiveness</w:t>
      </w:r>
      <w:bookmarkEnd w:id="28"/>
      <w:r w:rsidRPr="007073AD">
        <w:rPr>
          <w:noProof/>
          <w:lang w:val="en-IE"/>
        </w:rPr>
        <w:t xml:space="preserve"> </w:t>
      </w:r>
    </w:p>
    <w:tbl>
      <w:tblPr>
        <w:tblStyle w:val="TableGrid"/>
        <w:tblW w:w="9889" w:type="dxa"/>
        <w:tblLook w:val="04A0" w:firstRow="1" w:lastRow="0" w:firstColumn="1" w:lastColumn="0" w:noHBand="0" w:noVBand="1"/>
      </w:tblPr>
      <w:tblGrid>
        <w:gridCol w:w="3281"/>
        <w:gridCol w:w="2639"/>
        <w:gridCol w:w="3969"/>
      </w:tblGrid>
      <w:tr w:rsidR="00C22AB4" w:rsidRPr="00325998" w14:paraId="67A7C491" w14:textId="77777777" w:rsidTr="00EA4C16">
        <w:tc>
          <w:tcPr>
            <w:tcW w:w="3281" w:type="dxa"/>
            <w:vAlign w:val="center"/>
          </w:tcPr>
          <w:p w14:paraId="3F9E640E" w14:textId="77777777" w:rsidR="00C22AB4" w:rsidRPr="007073AD" w:rsidRDefault="00C22AB4" w:rsidP="00EA4C16">
            <w:pPr>
              <w:spacing w:before="60" w:after="60"/>
              <w:jc w:val="center"/>
              <w:rPr>
                <w:b/>
                <w:noProof/>
              </w:rPr>
            </w:pPr>
            <w:r w:rsidRPr="007073AD">
              <w:rPr>
                <w:b/>
                <w:noProof/>
              </w:rPr>
              <w:t>Dimensions of Competitiveness</w:t>
            </w:r>
          </w:p>
        </w:tc>
        <w:tc>
          <w:tcPr>
            <w:tcW w:w="2639" w:type="dxa"/>
            <w:vAlign w:val="center"/>
          </w:tcPr>
          <w:p w14:paraId="3A713A7D" w14:textId="77F873FD" w:rsidR="00C22AB4" w:rsidRPr="007073AD" w:rsidRDefault="00C22AB4" w:rsidP="00EA4C16">
            <w:pPr>
              <w:spacing w:before="60" w:after="60"/>
              <w:jc w:val="center"/>
              <w:rPr>
                <w:b/>
                <w:noProof/>
              </w:rPr>
            </w:pPr>
            <w:r w:rsidRPr="007073AD">
              <w:rPr>
                <w:b/>
                <w:noProof/>
              </w:rPr>
              <w:t>Impact of the initiative</w:t>
            </w:r>
          </w:p>
          <w:p w14:paraId="24DD993D" w14:textId="77777777" w:rsidR="00C22AB4" w:rsidRPr="007073AD" w:rsidRDefault="00C22AB4" w:rsidP="00EA4C16">
            <w:pPr>
              <w:spacing w:before="60" w:after="60"/>
              <w:jc w:val="center"/>
              <w:rPr>
                <w:b/>
                <w:noProof/>
                <w:lang w:val="en-IE"/>
              </w:rPr>
            </w:pPr>
            <w:r w:rsidRPr="249B2C69">
              <w:rPr>
                <w:b/>
                <w:noProof/>
                <w:lang w:val="en-IE"/>
              </w:rPr>
              <w:t>(++ / + / 0 / - / -- / n.a.)</w:t>
            </w:r>
          </w:p>
        </w:tc>
        <w:tc>
          <w:tcPr>
            <w:tcW w:w="3969" w:type="dxa"/>
            <w:vAlign w:val="center"/>
          </w:tcPr>
          <w:p w14:paraId="644C8C1B" w14:textId="77777777" w:rsidR="00C22AB4" w:rsidRPr="007073AD" w:rsidRDefault="00C22AB4" w:rsidP="00EA4C16">
            <w:pPr>
              <w:spacing w:before="60" w:after="60"/>
              <w:jc w:val="center"/>
              <w:rPr>
                <w:b/>
                <w:noProof/>
              </w:rPr>
            </w:pPr>
            <w:r w:rsidRPr="007073AD">
              <w:rPr>
                <w:b/>
                <w:noProof/>
              </w:rPr>
              <w:t>References to sub-sections of the main report or annexes</w:t>
            </w:r>
          </w:p>
        </w:tc>
      </w:tr>
      <w:tr w:rsidR="00DB62C8" w:rsidRPr="001A1423" w14:paraId="5974009C" w14:textId="77777777" w:rsidTr="00EA4C16">
        <w:tc>
          <w:tcPr>
            <w:tcW w:w="3281" w:type="dxa"/>
            <w:vAlign w:val="center"/>
          </w:tcPr>
          <w:p w14:paraId="2A2CE9EF" w14:textId="77777777" w:rsidR="00DB62C8" w:rsidRPr="007073AD" w:rsidRDefault="00DB62C8" w:rsidP="00EA4C16">
            <w:pPr>
              <w:spacing w:before="60" w:after="60"/>
              <w:rPr>
                <w:noProof/>
              </w:rPr>
            </w:pPr>
            <w:r w:rsidRPr="007073AD">
              <w:rPr>
                <w:noProof/>
              </w:rPr>
              <w:t>Cost and price competitiveness</w:t>
            </w:r>
          </w:p>
        </w:tc>
        <w:tc>
          <w:tcPr>
            <w:tcW w:w="2639" w:type="dxa"/>
            <w:vAlign w:val="center"/>
          </w:tcPr>
          <w:p w14:paraId="181747F3" w14:textId="06D6A1F1" w:rsidR="00DB62C8" w:rsidRPr="007073AD" w:rsidRDefault="00DB62C8" w:rsidP="00D00BC2">
            <w:pPr>
              <w:spacing w:before="60" w:after="60"/>
              <w:jc w:val="center"/>
              <w:rPr>
                <w:noProof/>
              </w:rPr>
            </w:pPr>
            <w:r w:rsidRPr="007073AD">
              <w:rPr>
                <w:noProof/>
              </w:rPr>
              <w:t>++</w:t>
            </w:r>
          </w:p>
        </w:tc>
        <w:tc>
          <w:tcPr>
            <w:tcW w:w="3969" w:type="dxa"/>
            <w:vMerge w:val="restart"/>
            <w:vAlign w:val="center"/>
          </w:tcPr>
          <w:p w14:paraId="502FEBC0" w14:textId="798F441F" w:rsidR="00DB62C8" w:rsidRPr="007073AD" w:rsidRDefault="00DB62C8" w:rsidP="00EA4C16">
            <w:pPr>
              <w:spacing w:before="60" w:after="60"/>
              <w:rPr>
                <w:noProof/>
              </w:rPr>
            </w:pPr>
            <w:r w:rsidRPr="007073AD">
              <w:rPr>
                <w:noProof/>
              </w:rPr>
              <w:t>Annex 4</w:t>
            </w:r>
            <w:r w:rsidR="000B0D0F" w:rsidRPr="007073AD">
              <w:rPr>
                <w:noProof/>
              </w:rPr>
              <w:t>:</w:t>
            </w:r>
            <w:r w:rsidRPr="007073AD">
              <w:rPr>
                <w:noProof/>
              </w:rPr>
              <w:t xml:space="preserve"> Analytical methods</w:t>
            </w:r>
            <w:r w:rsidR="005801F9" w:rsidRPr="007073AD">
              <w:rPr>
                <w:noProof/>
              </w:rPr>
              <w:t xml:space="preserve">, </w:t>
            </w:r>
            <w:r w:rsidR="005013E2">
              <w:rPr>
                <w:bCs/>
                <w:noProof/>
                <w:szCs w:val="20"/>
              </w:rPr>
              <w:t xml:space="preserve">section </w:t>
            </w:r>
            <w:r w:rsidR="005013E2" w:rsidRPr="007C262E">
              <w:rPr>
                <w:bCs/>
                <w:i/>
                <w:iCs/>
                <w:noProof/>
                <w:szCs w:val="20"/>
              </w:rPr>
              <w:t>2.3 Efficiency</w:t>
            </w:r>
            <w:r w:rsidR="00F442BA" w:rsidRPr="007C262E">
              <w:rPr>
                <w:bCs/>
                <w:i/>
                <w:iCs/>
                <w:noProof/>
                <w:szCs w:val="20"/>
              </w:rPr>
              <w:t xml:space="preserve"> of the policy options</w:t>
            </w:r>
            <w:r w:rsidR="007C262E">
              <w:rPr>
                <w:bCs/>
                <w:noProof/>
                <w:szCs w:val="20"/>
              </w:rPr>
              <w:t>.</w:t>
            </w:r>
          </w:p>
        </w:tc>
      </w:tr>
      <w:tr w:rsidR="00DB62C8" w:rsidRPr="00F76223" w14:paraId="4CCC9FF0" w14:textId="77777777" w:rsidTr="00EA4C16">
        <w:tc>
          <w:tcPr>
            <w:tcW w:w="3281" w:type="dxa"/>
            <w:vAlign w:val="center"/>
          </w:tcPr>
          <w:p w14:paraId="52485509" w14:textId="41540A04" w:rsidR="00DB62C8" w:rsidRPr="007073AD" w:rsidRDefault="00DB62C8" w:rsidP="00EA4C16">
            <w:pPr>
              <w:spacing w:before="60" w:after="60"/>
              <w:rPr>
                <w:noProof/>
              </w:rPr>
            </w:pPr>
            <w:r w:rsidRPr="007073AD">
              <w:rPr>
                <w:noProof/>
              </w:rPr>
              <w:t xml:space="preserve">International competitiveness </w:t>
            </w:r>
          </w:p>
        </w:tc>
        <w:tc>
          <w:tcPr>
            <w:tcW w:w="2639" w:type="dxa"/>
            <w:vAlign w:val="center"/>
          </w:tcPr>
          <w:p w14:paraId="3BF3177B" w14:textId="5F5D3302" w:rsidR="00DB62C8" w:rsidRPr="007073AD" w:rsidRDefault="00294A53" w:rsidP="00D00BC2">
            <w:pPr>
              <w:spacing w:before="60" w:after="60"/>
              <w:jc w:val="center"/>
              <w:rPr>
                <w:noProof/>
              </w:rPr>
            </w:pPr>
            <w:r w:rsidRPr="007073AD" w:rsidDel="00655BB0">
              <w:rPr>
                <w:noProof/>
              </w:rPr>
              <w:t>+</w:t>
            </w:r>
          </w:p>
        </w:tc>
        <w:tc>
          <w:tcPr>
            <w:tcW w:w="3969" w:type="dxa"/>
            <w:vMerge/>
            <w:vAlign w:val="center"/>
          </w:tcPr>
          <w:p w14:paraId="77D8A205" w14:textId="67CD3226" w:rsidR="00DB62C8" w:rsidRPr="007073AD" w:rsidRDefault="00DB62C8" w:rsidP="00EA4C16">
            <w:pPr>
              <w:spacing w:before="60" w:after="60"/>
              <w:rPr>
                <w:noProof/>
              </w:rPr>
            </w:pPr>
          </w:p>
        </w:tc>
      </w:tr>
      <w:tr w:rsidR="00DB62C8" w:rsidRPr="002A40AC" w14:paraId="72B12655" w14:textId="77777777" w:rsidTr="00EA4C16">
        <w:tc>
          <w:tcPr>
            <w:tcW w:w="3281" w:type="dxa"/>
            <w:vAlign w:val="center"/>
          </w:tcPr>
          <w:p w14:paraId="6120996B" w14:textId="4BC4E3F9" w:rsidR="00DB62C8" w:rsidRPr="007073AD" w:rsidRDefault="00DB62C8" w:rsidP="00EA4C16">
            <w:pPr>
              <w:spacing w:before="60" w:after="60"/>
              <w:rPr>
                <w:noProof/>
              </w:rPr>
            </w:pPr>
            <w:r w:rsidRPr="007073AD">
              <w:rPr>
                <w:noProof/>
              </w:rPr>
              <w:t>Capacity to innovate</w:t>
            </w:r>
          </w:p>
        </w:tc>
        <w:tc>
          <w:tcPr>
            <w:tcW w:w="2639" w:type="dxa"/>
            <w:vAlign w:val="center"/>
          </w:tcPr>
          <w:p w14:paraId="3AAA98E7" w14:textId="49A5B509" w:rsidR="00DB62C8" w:rsidRPr="007073AD" w:rsidRDefault="00DB62C8" w:rsidP="00D00BC2">
            <w:pPr>
              <w:spacing w:before="60" w:after="60"/>
              <w:jc w:val="center"/>
              <w:rPr>
                <w:noProof/>
              </w:rPr>
            </w:pPr>
            <w:r w:rsidRPr="007073AD">
              <w:rPr>
                <w:noProof/>
              </w:rPr>
              <w:t>+</w:t>
            </w:r>
          </w:p>
        </w:tc>
        <w:tc>
          <w:tcPr>
            <w:tcW w:w="3969" w:type="dxa"/>
            <w:vMerge/>
            <w:vAlign w:val="center"/>
          </w:tcPr>
          <w:p w14:paraId="3DB8B980" w14:textId="4609BCD6" w:rsidR="00DB62C8" w:rsidRPr="007073AD" w:rsidRDefault="00DB62C8" w:rsidP="00EA4C16">
            <w:pPr>
              <w:spacing w:before="60" w:after="60"/>
              <w:rPr>
                <w:noProof/>
              </w:rPr>
            </w:pPr>
          </w:p>
        </w:tc>
      </w:tr>
      <w:tr w:rsidR="00DB62C8" w:rsidRPr="00682D9D" w14:paraId="0C79877D" w14:textId="77777777" w:rsidTr="00EA4C16">
        <w:tc>
          <w:tcPr>
            <w:tcW w:w="3281" w:type="dxa"/>
            <w:vAlign w:val="center"/>
          </w:tcPr>
          <w:p w14:paraId="11188BFC" w14:textId="5011222E" w:rsidR="00DB62C8" w:rsidRPr="007073AD" w:rsidRDefault="00DB62C8" w:rsidP="00EA4C16">
            <w:pPr>
              <w:spacing w:before="60" w:after="60"/>
              <w:rPr>
                <w:noProof/>
              </w:rPr>
            </w:pPr>
            <w:r w:rsidRPr="007073AD">
              <w:rPr>
                <w:noProof/>
              </w:rPr>
              <w:t>SME competitiveness</w:t>
            </w:r>
          </w:p>
        </w:tc>
        <w:tc>
          <w:tcPr>
            <w:tcW w:w="2639" w:type="dxa"/>
            <w:vAlign w:val="center"/>
          </w:tcPr>
          <w:p w14:paraId="75BEF4D2" w14:textId="157AAB3F" w:rsidR="00DB62C8" w:rsidRPr="007073AD" w:rsidRDefault="00DB62C8" w:rsidP="00D00BC2">
            <w:pPr>
              <w:spacing w:before="60" w:after="60"/>
              <w:jc w:val="center"/>
              <w:rPr>
                <w:noProof/>
              </w:rPr>
            </w:pPr>
            <w:r w:rsidRPr="007073AD" w:rsidDel="00655BB0">
              <w:rPr>
                <w:noProof/>
              </w:rPr>
              <w:t>+</w:t>
            </w:r>
          </w:p>
        </w:tc>
        <w:tc>
          <w:tcPr>
            <w:tcW w:w="3969" w:type="dxa"/>
            <w:vMerge/>
            <w:vAlign w:val="center"/>
          </w:tcPr>
          <w:p w14:paraId="39C317EC" w14:textId="7E9E4032" w:rsidR="00DB62C8" w:rsidRPr="007073AD" w:rsidRDefault="00DB62C8" w:rsidP="00EA4C16">
            <w:pPr>
              <w:spacing w:before="60" w:after="60"/>
              <w:rPr>
                <w:noProof/>
              </w:rPr>
            </w:pPr>
          </w:p>
        </w:tc>
      </w:tr>
    </w:tbl>
    <w:p w14:paraId="2D4F7637" w14:textId="77777777" w:rsidR="00C22AB4" w:rsidRPr="007073AD" w:rsidRDefault="00C22AB4" w:rsidP="00C22AB4">
      <w:pPr>
        <w:rPr>
          <w:b/>
          <w:noProof/>
          <w:u w:val="single"/>
        </w:rPr>
      </w:pPr>
    </w:p>
    <w:p w14:paraId="5C76F179" w14:textId="3C5919AD" w:rsidR="00C22AB4" w:rsidRPr="007073AD" w:rsidRDefault="00C22AB4" w:rsidP="00B87DBD">
      <w:pPr>
        <w:pStyle w:val="Heading1"/>
        <w:numPr>
          <w:ilvl w:val="0"/>
          <w:numId w:val="6"/>
        </w:numPr>
        <w:rPr>
          <w:noProof/>
          <w:lang w:val="en-IE"/>
        </w:rPr>
      </w:pPr>
      <w:bookmarkStart w:id="29" w:name="_Toc219390727"/>
      <w:r w:rsidRPr="007073AD">
        <w:rPr>
          <w:noProof/>
          <w:lang w:val="en-IE"/>
        </w:rPr>
        <w:t>Synthetic assessment</w:t>
      </w:r>
      <w:bookmarkEnd w:id="29"/>
      <w:r w:rsidRPr="007073AD">
        <w:rPr>
          <w:noProof/>
          <w:lang w:val="en-IE"/>
        </w:rPr>
        <w:t xml:space="preserve"> </w:t>
      </w:r>
    </w:p>
    <w:p w14:paraId="49B544DE" w14:textId="3C1755AB" w:rsidR="000117AD" w:rsidRPr="003F4471" w:rsidRDefault="000117AD" w:rsidP="003F4471">
      <w:pPr>
        <w:spacing w:before="100" w:beforeAutospacing="1" w:after="100" w:afterAutospacing="1"/>
        <w:rPr>
          <w:rFonts w:eastAsia="Times New Roman"/>
          <w:noProof/>
          <w:lang w:eastAsia="nl-BE"/>
        </w:rPr>
      </w:pPr>
      <w:r w:rsidRPr="003F4471">
        <w:rPr>
          <w:rFonts w:eastAsia="Times New Roman"/>
          <w:noProof/>
          <w:lang w:eastAsia="nl-BE"/>
        </w:rPr>
        <w:t>The initiative is expected to have a positive impact on EU competitiveness by improving the functioning of the Single Market for companies, in particular through the reduction of legal and administrative fragmentation in company law. By introducing an optional common EU corporate legal framework, the initiative reduces the need for companies to adapt to multiple national company law regimes when establishing or scaling up across borders</w:t>
      </w:r>
      <w:r w:rsidR="00A77D70">
        <w:rPr>
          <w:rFonts w:eastAsia="Times New Roman"/>
          <w:noProof/>
          <w:lang w:eastAsia="nl-BE"/>
        </w:rPr>
        <w:t xml:space="preserve"> as well as the need for investo</w:t>
      </w:r>
      <w:r w:rsidR="00466439">
        <w:rPr>
          <w:rFonts w:eastAsia="Times New Roman"/>
          <w:noProof/>
          <w:lang w:eastAsia="nl-BE"/>
        </w:rPr>
        <w:t xml:space="preserve">rs to </w:t>
      </w:r>
      <w:r w:rsidR="00B5587A">
        <w:rPr>
          <w:rFonts w:eastAsia="Times New Roman"/>
          <w:noProof/>
          <w:lang w:eastAsia="nl-BE"/>
        </w:rPr>
        <w:t>adapt to</w:t>
      </w:r>
      <w:r w:rsidR="00C335CF">
        <w:rPr>
          <w:rFonts w:eastAsia="Times New Roman"/>
          <w:noProof/>
          <w:lang w:eastAsia="nl-BE"/>
        </w:rPr>
        <w:t xml:space="preserve"> </w:t>
      </w:r>
      <w:r w:rsidR="00BC59A6">
        <w:rPr>
          <w:rFonts w:eastAsia="Times New Roman"/>
          <w:noProof/>
          <w:lang w:eastAsia="nl-BE"/>
        </w:rPr>
        <w:t xml:space="preserve">multiple regimes when </w:t>
      </w:r>
      <w:r w:rsidR="0063326E">
        <w:rPr>
          <w:rFonts w:eastAsia="Times New Roman"/>
          <w:noProof/>
          <w:lang w:eastAsia="nl-BE"/>
        </w:rPr>
        <w:t xml:space="preserve">investing in </w:t>
      </w:r>
      <w:r w:rsidR="00860F0F">
        <w:rPr>
          <w:rFonts w:eastAsia="Times New Roman"/>
          <w:noProof/>
          <w:lang w:eastAsia="nl-BE"/>
        </w:rPr>
        <w:t>companies in different Member States</w:t>
      </w:r>
      <w:r w:rsidRPr="003F4471">
        <w:rPr>
          <w:rFonts w:eastAsia="Times New Roman"/>
          <w:noProof/>
          <w:lang w:eastAsia="nl-BE"/>
        </w:rPr>
        <w:t xml:space="preserve">. This simplification is expected to generate efficiency gains primarily through reduced one-off and recurring administrative costs, </w:t>
      </w:r>
      <w:r w:rsidR="006A08E0">
        <w:rPr>
          <w:rFonts w:eastAsia="Times New Roman"/>
          <w:noProof/>
          <w:lang w:eastAsia="nl-BE"/>
        </w:rPr>
        <w:t xml:space="preserve">simpler and </w:t>
      </w:r>
      <w:r w:rsidRPr="003F4471">
        <w:rPr>
          <w:rFonts w:eastAsia="Times New Roman"/>
          <w:noProof/>
          <w:lang w:eastAsia="nl-BE"/>
        </w:rPr>
        <w:t>faster corporate procedures and increased legal predictability.</w:t>
      </w:r>
    </w:p>
    <w:p w14:paraId="5840E069" w14:textId="5B43E099" w:rsidR="000117AD" w:rsidRPr="003F4471" w:rsidRDefault="000117AD" w:rsidP="003F4471">
      <w:pPr>
        <w:spacing w:before="100" w:beforeAutospacing="1" w:after="100" w:afterAutospacing="1"/>
        <w:rPr>
          <w:rFonts w:eastAsia="Times New Roman"/>
          <w:noProof/>
          <w:lang w:eastAsia="nl-BE"/>
        </w:rPr>
      </w:pPr>
      <w:r w:rsidRPr="003F4471">
        <w:rPr>
          <w:rFonts w:eastAsia="Times New Roman"/>
          <w:noProof/>
          <w:lang w:eastAsia="nl-BE"/>
        </w:rPr>
        <w:t xml:space="preserve">As shown in the efficiency analysis and quantified in Annex 4 using the Standard Cost Model, the preferred policy package leads to substantial reductions in administrative burdens for companies, notably in relation to company formation, </w:t>
      </w:r>
      <w:r w:rsidR="00FA2F66">
        <w:rPr>
          <w:rFonts w:eastAsia="Times New Roman"/>
          <w:noProof/>
          <w:lang w:eastAsia="nl-BE"/>
        </w:rPr>
        <w:t xml:space="preserve">investment </w:t>
      </w:r>
      <w:r w:rsidRPr="003F4471">
        <w:rPr>
          <w:rFonts w:eastAsia="Times New Roman"/>
          <w:noProof/>
          <w:lang w:eastAsia="nl-BE"/>
        </w:rPr>
        <w:t>and interactions with public authorities. These cost reductions improve cost and price competitiveness by lowering fixed and transaction costs, which is particularly relevant for smaller and younger firms with limited administrative capacity. The overall reduction in administrative burden for</w:t>
      </w:r>
      <w:r>
        <w:rPr>
          <w:rFonts w:eastAsia="Times New Roman"/>
          <w:noProof/>
          <w:lang w:eastAsia="nl-BE"/>
        </w:rPr>
        <w:t xml:space="preserve"> </w:t>
      </w:r>
      <w:r w:rsidRPr="003F4471">
        <w:rPr>
          <w:rFonts w:eastAsia="Times New Roman"/>
          <w:noProof/>
          <w:lang w:eastAsia="nl-BE"/>
        </w:rPr>
        <w:t>companies opting into the 28</w:t>
      </w:r>
      <w:r w:rsidRPr="003F4471">
        <w:rPr>
          <w:rFonts w:eastAsia="Times New Roman"/>
          <w:noProof/>
          <w:vertAlign w:val="superscript"/>
          <w:lang w:eastAsia="nl-BE"/>
        </w:rPr>
        <w:t>th</w:t>
      </w:r>
      <w:r>
        <w:rPr>
          <w:rFonts w:eastAsia="Times New Roman"/>
          <w:noProof/>
          <w:lang w:eastAsia="nl-BE"/>
        </w:rPr>
        <w:t xml:space="preserve"> </w:t>
      </w:r>
      <w:r w:rsidRPr="003F4471">
        <w:rPr>
          <w:rFonts w:eastAsia="Times New Roman"/>
          <w:noProof/>
          <w:lang w:eastAsia="nl-BE"/>
        </w:rPr>
        <w:t>regime is estimated to be in the order of</w:t>
      </w:r>
      <w:r>
        <w:rPr>
          <w:rFonts w:eastAsia="Times New Roman"/>
          <w:noProof/>
          <w:lang w:eastAsia="nl-BE"/>
        </w:rPr>
        <w:t xml:space="preserve"> EUR</w:t>
      </w:r>
      <w:r w:rsidR="00030DC1">
        <w:rPr>
          <w:rFonts w:eastAsia="Times New Roman"/>
          <w:noProof/>
          <w:lang w:eastAsia="nl-BE"/>
        </w:rPr>
        <w:t xml:space="preserve"> </w:t>
      </w:r>
      <w:r w:rsidR="00913168">
        <w:rPr>
          <w:rFonts w:eastAsia="Times New Roman"/>
          <w:noProof/>
          <w:lang w:eastAsia="nl-BE"/>
        </w:rPr>
        <w:t>3</w:t>
      </w:r>
      <w:r w:rsidR="006D5181">
        <w:rPr>
          <w:rFonts w:eastAsia="Times New Roman"/>
          <w:noProof/>
          <w:lang w:eastAsia="nl-BE"/>
        </w:rPr>
        <w:t>28</w:t>
      </w:r>
      <w:r w:rsidR="003378EC">
        <w:rPr>
          <w:rFonts w:eastAsia="Times New Roman"/>
          <w:noProof/>
          <w:lang w:eastAsia="nl-BE"/>
        </w:rPr>
        <w:t xml:space="preserve"> million</w:t>
      </w:r>
      <w:r w:rsidR="006D5181">
        <w:rPr>
          <w:rFonts w:eastAsia="Times New Roman"/>
          <w:noProof/>
          <w:lang w:eastAsia="nl-BE"/>
        </w:rPr>
        <w:t xml:space="preserve"> </w:t>
      </w:r>
      <w:r w:rsidR="00030DC1">
        <w:rPr>
          <w:rFonts w:eastAsia="Times New Roman"/>
          <w:noProof/>
          <w:lang w:eastAsia="nl-BE"/>
        </w:rPr>
        <w:t>to</w:t>
      </w:r>
      <w:r w:rsidR="004D12BD">
        <w:rPr>
          <w:rFonts w:eastAsia="Times New Roman"/>
          <w:noProof/>
          <w:lang w:eastAsia="nl-BE"/>
        </w:rPr>
        <w:t xml:space="preserve"> EUR </w:t>
      </w:r>
      <w:r w:rsidR="006D5181">
        <w:rPr>
          <w:rFonts w:eastAsia="Times New Roman"/>
          <w:noProof/>
          <w:lang w:eastAsia="nl-BE"/>
        </w:rPr>
        <w:t>440</w:t>
      </w:r>
      <w:r>
        <w:rPr>
          <w:rFonts w:eastAsia="Times New Roman"/>
          <w:noProof/>
          <w:lang w:eastAsia="nl-BE"/>
        </w:rPr>
        <w:t xml:space="preserve"> million </w:t>
      </w:r>
      <w:r w:rsidRPr="003F4471">
        <w:rPr>
          <w:rFonts w:eastAsia="Times New Roman"/>
          <w:noProof/>
          <w:lang w:eastAsia="nl-BE"/>
        </w:rPr>
        <w:t>over a ten-year period.</w:t>
      </w:r>
    </w:p>
    <w:p w14:paraId="4A1FDEA0" w14:textId="62930A4B" w:rsidR="000117AD" w:rsidRPr="003F4471" w:rsidRDefault="000117AD" w:rsidP="003F4471">
      <w:pPr>
        <w:spacing w:before="100" w:beforeAutospacing="1" w:after="100" w:afterAutospacing="1"/>
        <w:rPr>
          <w:rFonts w:eastAsia="Times New Roman"/>
          <w:noProof/>
          <w:lang w:eastAsia="nl-BE"/>
        </w:rPr>
      </w:pPr>
      <w:r w:rsidRPr="003F4471">
        <w:rPr>
          <w:rFonts w:eastAsia="Times New Roman"/>
          <w:noProof/>
          <w:lang w:eastAsia="nl-BE"/>
        </w:rPr>
        <w:t>The initiative is also expected to strengthen international competitiveness within the Single Market. By offering a single, recognisable EU corporate framework applicable across Member States, the initiative reduces legal uncertainty and home-bias effects for both companies and investors</w:t>
      </w:r>
      <w:r w:rsidR="008D1A35">
        <w:rPr>
          <w:rFonts w:eastAsia="Times New Roman"/>
          <w:noProof/>
          <w:lang w:eastAsia="nl-BE"/>
        </w:rPr>
        <w:t xml:space="preserve"> in the EU</w:t>
      </w:r>
      <w:r w:rsidR="00D21FE3">
        <w:rPr>
          <w:rFonts w:eastAsia="Times New Roman"/>
          <w:noProof/>
          <w:lang w:eastAsia="nl-BE"/>
        </w:rPr>
        <w:t xml:space="preserve"> and</w:t>
      </w:r>
      <w:r w:rsidR="003B2C2A">
        <w:rPr>
          <w:rFonts w:eastAsia="Times New Roman"/>
          <w:noProof/>
          <w:lang w:eastAsia="nl-BE"/>
        </w:rPr>
        <w:t xml:space="preserve"> </w:t>
      </w:r>
      <w:r w:rsidR="00103DF9">
        <w:rPr>
          <w:rFonts w:eastAsia="Times New Roman"/>
          <w:noProof/>
          <w:lang w:eastAsia="nl-BE"/>
        </w:rPr>
        <w:t xml:space="preserve">increases the attractiveness of </w:t>
      </w:r>
      <w:r w:rsidR="00D86612">
        <w:rPr>
          <w:rFonts w:eastAsia="Times New Roman"/>
          <w:noProof/>
          <w:lang w:eastAsia="nl-BE"/>
        </w:rPr>
        <w:t>EU companies to third-country investors</w:t>
      </w:r>
      <w:r w:rsidRPr="003F4471">
        <w:rPr>
          <w:rFonts w:eastAsia="Times New Roman"/>
          <w:noProof/>
          <w:lang w:eastAsia="nl-BE"/>
        </w:rPr>
        <w:t xml:space="preserve">. This is expected to support cross-border scaling strategies and make the EU a more attractive jurisdiction for entrepreneurial activity and investment, relative to a situation where </w:t>
      </w:r>
      <w:r w:rsidR="00F6559D">
        <w:rPr>
          <w:rFonts w:eastAsia="Times New Roman"/>
          <w:noProof/>
          <w:lang w:eastAsia="nl-BE"/>
        </w:rPr>
        <w:t>businesses</w:t>
      </w:r>
      <w:r w:rsidRPr="003F4471">
        <w:rPr>
          <w:rFonts w:eastAsia="Times New Roman"/>
          <w:noProof/>
          <w:lang w:eastAsia="nl-BE"/>
        </w:rPr>
        <w:t xml:space="preserve"> must rely on multiple national corporate forms. These effects materialise primarily through improvements in the business environment rather than through direct impacts on aggregate trade flows or macro-economic investment volumes.</w:t>
      </w:r>
    </w:p>
    <w:p w14:paraId="43AC8222" w14:textId="159E0E22" w:rsidR="000117AD" w:rsidRPr="003F4471" w:rsidRDefault="000117AD" w:rsidP="003F4471">
      <w:pPr>
        <w:spacing w:before="100" w:beforeAutospacing="1" w:after="100" w:afterAutospacing="1"/>
        <w:rPr>
          <w:rFonts w:eastAsia="Times New Roman"/>
          <w:noProof/>
          <w:lang w:eastAsia="nl-BE"/>
        </w:rPr>
      </w:pPr>
      <w:r w:rsidRPr="003F4471">
        <w:rPr>
          <w:rFonts w:eastAsia="Times New Roman"/>
          <w:noProof/>
          <w:lang w:eastAsia="nl-BE"/>
        </w:rPr>
        <w:t>With regard to innovation capacity, the initiative is expected to have a positive, though more indirect, impact. By facilitating access to finance, including through enhanced legal certainty for investors and improved conditions for the use of equity-based incentives such as employee stock options, the 28th regime supports the growth and scaling of innovative firms. Reduced administrative friction and greater predictability of corporate processes may allow firms to reallocate resources towards productive and innovative activities. These effects are expected to materialise gradually and depend on take-up and ecosystem learning.</w:t>
      </w:r>
    </w:p>
    <w:p w14:paraId="4C091C4E" w14:textId="341CEE32" w:rsidR="000117AD" w:rsidRPr="003F4471" w:rsidRDefault="000117AD" w:rsidP="003F4471">
      <w:pPr>
        <w:spacing w:before="100" w:beforeAutospacing="1" w:after="100" w:afterAutospacing="1"/>
        <w:rPr>
          <w:rFonts w:eastAsia="Times New Roman"/>
          <w:noProof/>
          <w:lang w:eastAsia="nl-BE"/>
        </w:rPr>
      </w:pPr>
      <w:r w:rsidRPr="003F4471">
        <w:rPr>
          <w:rFonts w:eastAsia="Times New Roman"/>
          <w:noProof/>
          <w:lang w:eastAsia="nl-BE"/>
        </w:rPr>
        <w:t xml:space="preserve">The competitiveness impacts are particularly relevant for SMEs, start-ups and scale-ups, which are more exposed to administrative costs </w:t>
      </w:r>
      <w:r w:rsidR="00E60072">
        <w:rPr>
          <w:rFonts w:eastAsia="Times New Roman"/>
          <w:noProof/>
          <w:lang w:eastAsia="nl-BE"/>
        </w:rPr>
        <w:t xml:space="preserve">and </w:t>
      </w:r>
      <w:r w:rsidR="00E60072" w:rsidRPr="003F4471">
        <w:rPr>
          <w:rFonts w:eastAsia="Times New Roman"/>
          <w:noProof/>
          <w:lang w:eastAsia="nl-BE"/>
        </w:rPr>
        <w:t>legal fragmentation</w:t>
      </w:r>
      <w:r w:rsidR="006619CA">
        <w:rPr>
          <w:rFonts w:eastAsia="Times New Roman"/>
          <w:noProof/>
          <w:lang w:eastAsia="nl-BE"/>
        </w:rPr>
        <w:t xml:space="preserve"> across the Single Market</w:t>
      </w:r>
      <w:r w:rsidRPr="003F4471">
        <w:rPr>
          <w:rFonts w:eastAsia="Times New Roman"/>
          <w:noProof/>
          <w:lang w:eastAsia="nl-BE"/>
        </w:rPr>
        <w:t>. By lowering relative entry and transaction costs and facilitating cross-border scaling, the initiative enhances SME competitiveness and expands growth opportunities within the Single Market. Firms with cross-border ambitions, venture-capital-backed companies and companies undergoing rapid growth or restructuring are expected to benefit most from the initiative.</w:t>
      </w:r>
    </w:p>
    <w:p w14:paraId="148FC0E5" w14:textId="77777777" w:rsidR="000117AD" w:rsidRPr="003F4471" w:rsidRDefault="000117AD" w:rsidP="003F4471">
      <w:pPr>
        <w:spacing w:before="100" w:beforeAutospacing="1" w:after="100" w:afterAutospacing="1"/>
        <w:rPr>
          <w:rFonts w:eastAsia="Times New Roman"/>
          <w:noProof/>
          <w:lang w:eastAsia="nl-BE"/>
        </w:rPr>
      </w:pPr>
      <w:r w:rsidRPr="003F4471">
        <w:rPr>
          <w:rFonts w:eastAsia="Times New Roman"/>
          <w:noProof/>
          <w:lang w:eastAsia="nl-BE"/>
        </w:rPr>
        <w:t>Overall, while the initiative does not directly target sector-specific competitive dynamics or macro-economic trade indicators, it is expected to improve competitive conditions at firm and system level by strengthening market integration, reducing unnecessary regulatory frictions and supporting efficient reallocation and scaling of economic activity within the EU. The magnitude of these effects depends on take-up over time, but the direction of impact on competitiveness is clearly positive.</w:t>
      </w:r>
    </w:p>
    <w:p w14:paraId="05D0F5DD" w14:textId="5C3B0A42" w:rsidR="00340A6F" w:rsidRPr="007073AD" w:rsidRDefault="00340A6F" w:rsidP="00B87DBD">
      <w:pPr>
        <w:pStyle w:val="Heading1"/>
        <w:numPr>
          <w:ilvl w:val="0"/>
          <w:numId w:val="6"/>
        </w:numPr>
        <w:rPr>
          <w:noProof/>
          <w:lang w:val="en-IE"/>
        </w:rPr>
      </w:pPr>
      <w:bookmarkStart w:id="30" w:name="_Toc219390728"/>
      <w:r w:rsidRPr="007073AD">
        <w:rPr>
          <w:noProof/>
          <w:lang w:val="en-IE"/>
        </w:rPr>
        <w:t xml:space="preserve">Competitive position </w:t>
      </w:r>
      <w:r w:rsidR="007053D2" w:rsidRPr="007073AD">
        <w:rPr>
          <w:noProof/>
          <w:lang w:val="en-IE"/>
        </w:rPr>
        <w:t>of the most affected sectors</w:t>
      </w:r>
      <w:bookmarkEnd w:id="30"/>
    </w:p>
    <w:p w14:paraId="5A1A9276" w14:textId="4F166B90" w:rsidR="00C22AB4" w:rsidRDefault="003276B6" w:rsidP="00BB46DD">
      <w:pPr>
        <w:spacing w:after="200" w:line="276" w:lineRule="auto"/>
        <w:rPr>
          <w:rFonts w:eastAsia="Times New Roman"/>
          <w:b/>
          <w:smallCaps/>
          <w:noProof/>
          <w:sz w:val="32"/>
          <w:szCs w:val="20"/>
        </w:rPr>
      </w:pPr>
      <w:r>
        <w:rPr>
          <w:noProof/>
        </w:rPr>
        <w:t>Given the</w:t>
      </w:r>
      <w:r w:rsidRPr="003276B6">
        <w:rPr>
          <w:noProof/>
        </w:rPr>
        <w:t xml:space="preserve"> horizontal</w:t>
      </w:r>
      <w:r w:rsidR="0092050E">
        <w:rPr>
          <w:noProof/>
        </w:rPr>
        <w:t xml:space="preserve"> nature of the</w:t>
      </w:r>
      <w:r w:rsidRPr="003276B6">
        <w:rPr>
          <w:noProof/>
        </w:rPr>
        <w:t xml:space="preserve"> proposal </w:t>
      </w:r>
      <w:r w:rsidR="00BB46DD">
        <w:rPr>
          <w:noProof/>
        </w:rPr>
        <w:t>which</w:t>
      </w:r>
      <w:r w:rsidRPr="003276B6">
        <w:rPr>
          <w:noProof/>
        </w:rPr>
        <w:t xml:space="preserve"> </w:t>
      </w:r>
      <w:r w:rsidR="0092050E">
        <w:rPr>
          <w:noProof/>
        </w:rPr>
        <w:t xml:space="preserve">positively impacts </w:t>
      </w:r>
      <w:r w:rsidR="00241F06">
        <w:rPr>
          <w:noProof/>
        </w:rPr>
        <w:t xml:space="preserve">companies regardless of </w:t>
      </w:r>
      <w:r w:rsidR="00BB46DD">
        <w:rPr>
          <w:noProof/>
        </w:rPr>
        <w:t xml:space="preserve">their </w:t>
      </w:r>
      <w:r w:rsidR="00661AC3">
        <w:rPr>
          <w:noProof/>
        </w:rPr>
        <w:t>sector of</w:t>
      </w:r>
      <w:r w:rsidR="00241F06">
        <w:rPr>
          <w:noProof/>
        </w:rPr>
        <w:t xml:space="preserve"> activity</w:t>
      </w:r>
      <w:r w:rsidRPr="003276B6">
        <w:rPr>
          <w:noProof/>
        </w:rPr>
        <w:t xml:space="preserve">, </w:t>
      </w:r>
      <w:r w:rsidR="00C22F77">
        <w:rPr>
          <w:noProof/>
        </w:rPr>
        <w:t>a</w:t>
      </w:r>
      <w:r w:rsidRPr="003276B6">
        <w:rPr>
          <w:noProof/>
        </w:rPr>
        <w:t xml:space="preserve"> sectoral analysis </w:t>
      </w:r>
      <w:r w:rsidR="00C22F77">
        <w:rPr>
          <w:noProof/>
        </w:rPr>
        <w:t>would</w:t>
      </w:r>
      <w:r w:rsidR="00BB46DD">
        <w:rPr>
          <w:noProof/>
        </w:rPr>
        <w:t xml:space="preserve"> not</w:t>
      </w:r>
      <w:r w:rsidR="00C22F77">
        <w:rPr>
          <w:noProof/>
        </w:rPr>
        <w:t xml:space="preserve"> be</w:t>
      </w:r>
      <w:r w:rsidRPr="003276B6">
        <w:rPr>
          <w:noProof/>
        </w:rPr>
        <w:t xml:space="preserve"> relevant.</w:t>
      </w:r>
      <w:r w:rsidR="00C22AB4">
        <w:rPr>
          <w:noProof/>
        </w:rPr>
        <w:br w:type="page"/>
      </w:r>
    </w:p>
    <w:p w14:paraId="76593344" w14:textId="70954243" w:rsidR="00380909" w:rsidRPr="007073AD" w:rsidRDefault="00380909" w:rsidP="00380909">
      <w:pPr>
        <w:pStyle w:val="AnnexTitle"/>
        <w:rPr>
          <w:noProof/>
          <w:lang w:val="en-IE"/>
        </w:rPr>
      </w:pPr>
      <w:bookmarkStart w:id="31" w:name="_Toc219390729"/>
      <w:r w:rsidRPr="007073AD">
        <w:rPr>
          <w:noProof/>
          <w:lang w:val="en-IE"/>
        </w:rPr>
        <w:t>Annex 6: SME check</w:t>
      </w:r>
      <w:r w:rsidR="003F0664" w:rsidRPr="007073AD">
        <w:rPr>
          <w:noProof/>
          <w:lang w:val="en-IE"/>
        </w:rPr>
        <w:t xml:space="preserve"> [for </w:t>
      </w:r>
      <w:r w:rsidR="00CC4BD1" w:rsidRPr="007073AD">
        <w:rPr>
          <w:noProof/>
          <w:lang w:val="en-IE"/>
        </w:rPr>
        <w:t>SME relevant and highly relevant initiatives]</w:t>
      </w:r>
      <w:bookmarkEnd w:id="31"/>
    </w:p>
    <w:p w14:paraId="38CFB9EB" w14:textId="77777777" w:rsidR="001A529D" w:rsidRDefault="001A529D" w:rsidP="001A529D">
      <w:pPr>
        <w:rPr>
          <w:b/>
          <w:bCs/>
          <w:smallCaps/>
          <w:noProof/>
          <w:color w:val="000000" w:themeColor="text1"/>
        </w:rPr>
      </w:pPr>
      <w:r w:rsidRPr="4E03C77D">
        <w:rPr>
          <w:b/>
          <w:bCs/>
          <w:smallCaps/>
          <w:noProof/>
          <w:color w:val="000000" w:themeColor="text1"/>
        </w:rPr>
        <w:t>Overview of impacts on SMEs</w:t>
      </w:r>
    </w:p>
    <w:tbl>
      <w:tblPr>
        <w:tblStyle w:val="TableGrid"/>
        <w:tblW w:w="9214" w:type="dxa"/>
        <w:tblInd w:w="-34" w:type="dxa"/>
        <w:tblLook w:val="04A0" w:firstRow="1" w:lastRow="0" w:firstColumn="1" w:lastColumn="0" w:noHBand="0" w:noVBand="1"/>
      </w:tblPr>
      <w:tblGrid>
        <w:gridCol w:w="9214"/>
      </w:tblGrid>
      <w:tr w:rsidR="001A529D" w:rsidRPr="00AF61BA" w14:paraId="1B98F8F9" w14:textId="77777777" w:rsidTr="00646A30">
        <w:tc>
          <w:tcPr>
            <w:tcW w:w="9214" w:type="dxa"/>
          </w:tcPr>
          <w:p w14:paraId="141C453D" w14:textId="40FA2265" w:rsidR="001A529D" w:rsidRPr="00AF61BA" w:rsidRDefault="001A529D">
            <w:pPr>
              <w:pStyle w:val="ListParagraph"/>
              <w:ind w:left="0"/>
              <w:rPr>
                <w:b/>
                <w:bCs/>
                <w:noProof/>
                <w:color w:val="000000" w:themeColor="text1"/>
              </w:rPr>
            </w:pPr>
            <w:r w:rsidRPr="4E03C77D">
              <w:rPr>
                <w:b/>
                <w:bCs/>
                <w:noProof/>
                <w:color w:val="000000" w:themeColor="text1"/>
              </w:rPr>
              <w:t xml:space="preserve">Relevance for SMEs </w:t>
            </w:r>
          </w:p>
        </w:tc>
      </w:tr>
      <w:tr w:rsidR="001A529D" w:rsidRPr="00AF61BA" w14:paraId="0D36B806" w14:textId="77777777" w:rsidTr="00646A30">
        <w:tc>
          <w:tcPr>
            <w:tcW w:w="9214" w:type="dxa"/>
          </w:tcPr>
          <w:p w14:paraId="56942AB1" w14:textId="1E5A4A96" w:rsidR="001A529D" w:rsidRPr="00BA474D" w:rsidRDefault="00752EFA">
            <w:pPr>
              <w:pStyle w:val="ListParagraph"/>
              <w:ind w:left="0"/>
              <w:rPr>
                <w:noProof/>
                <w:color w:val="000000" w:themeColor="text1"/>
                <w:sz w:val="22"/>
                <w:szCs w:val="22"/>
              </w:rPr>
            </w:pPr>
            <w:r w:rsidRPr="00BA474D">
              <w:rPr>
                <w:noProof/>
                <w:color w:val="000000" w:themeColor="text1"/>
                <w:sz w:val="22"/>
                <w:szCs w:val="22"/>
              </w:rPr>
              <w:t>Highly r</w:t>
            </w:r>
            <w:r w:rsidR="00B6462B" w:rsidRPr="00BA474D">
              <w:rPr>
                <w:noProof/>
                <w:color w:val="000000" w:themeColor="text1"/>
                <w:sz w:val="22"/>
                <w:szCs w:val="22"/>
              </w:rPr>
              <w:t>elevant for SMEs</w:t>
            </w:r>
          </w:p>
        </w:tc>
      </w:tr>
    </w:tbl>
    <w:p w14:paraId="073E6AFE" w14:textId="77777777" w:rsidR="001A529D" w:rsidRPr="00425749" w:rsidRDefault="001A529D" w:rsidP="001A529D">
      <w:pPr>
        <w:rPr>
          <w:b/>
          <w:bCs/>
          <w:smallCaps/>
          <w:noProof/>
          <w:color w:val="000000" w:themeColor="text1"/>
        </w:rPr>
      </w:pPr>
    </w:p>
    <w:tbl>
      <w:tblPr>
        <w:tblStyle w:val="TableGrid"/>
        <w:tblW w:w="9214" w:type="dxa"/>
        <w:tblInd w:w="-34" w:type="dxa"/>
        <w:tblLook w:val="04A0" w:firstRow="1" w:lastRow="0" w:firstColumn="1" w:lastColumn="0" w:noHBand="0" w:noVBand="1"/>
      </w:tblPr>
      <w:tblGrid>
        <w:gridCol w:w="9214"/>
      </w:tblGrid>
      <w:tr w:rsidR="001A529D" w:rsidRPr="008928A0" w14:paraId="5DA20182" w14:textId="77777777" w:rsidTr="00646A30">
        <w:tc>
          <w:tcPr>
            <w:tcW w:w="9214" w:type="dxa"/>
          </w:tcPr>
          <w:p w14:paraId="009B3738" w14:textId="77777777" w:rsidR="001A529D" w:rsidRPr="008928A0" w:rsidRDefault="001A529D">
            <w:pPr>
              <w:pStyle w:val="ListParagraph"/>
              <w:ind w:left="0"/>
              <w:rPr>
                <w:b/>
                <w:bCs/>
                <w:noProof/>
                <w:color w:val="000000" w:themeColor="text1"/>
              </w:rPr>
            </w:pPr>
            <w:r w:rsidRPr="4E03C77D">
              <w:rPr>
                <w:b/>
                <w:bCs/>
                <w:noProof/>
                <w:color w:val="000000" w:themeColor="text1"/>
              </w:rPr>
              <w:t>(1)</w:t>
            </w:r>
            <w:r>
              <w:rPr>
                <w:noProof/>
              </w:rPr>
              <w:tab/>
            </w:r>
            <w:r w:rsidRPr="4E03C77D">
              <w:rPr>
                <w:b/>
                <w:bCs/>
                <w:smallCaps/>
                <w:noProof/>
                <w:color w:val="000000" w:themeColor="text1"/>
              </w:rPr>
              <w:t>Identification of affected businesses and assessment of relevance</w:t>
            </w:r>
          </w:p>
        </w:tc>
      </w:tr>
      <w:tr w:rsidR="001A529D" w:rsidRPr="008928A0" w14:paraId="251EDC7B" w14:textId="77777777" w:rsidTr="00646A30">
        <w:tc>
          <w:tcPr>
            <w:tcW w:w="9214" w:type="dxa"/>
          </w:tcPr>
          <w:p w14:paraId="2B20D1D7" w14:textId="77777777" w:rsidR="001A529D" w:rsidRPr="008928A0" w:rsidRDefault="001A529D">
            <w:pPr>
              <w:pStyle w:val="ListParagraph"/>
              <w:ind w:left="0"/>
              <w:rPr>
                <w:b/>
                <w:bCs/>
                <w:noProof/>
                <w:color w:val="000000" w:themeColor="text1"/>
              </w:rPr>
            </w:pPr>
            <w:r w:rsidRPr="4E03C77D">
              <w:rPr>
                <w:b/>
                <w:bCs/>
                <w:noProof/>
                <w:color w:val="000000" w:themeColor="text1"/>
              </w:rPr>
              <w:t>Are SMEs directly affected?</w:t>
            </w:r>
            <w:r w:rsidRPr="4E03C77D">
              <w:rPr>
                <w:noProof/>
                <w:color w:val="000000" w:themeColor="text1"/>
              </w:rPr>
              <w:t xml:space="preserve"> </w:t>
            </w:r>
            <w:r w:rsidRPr="4E03C77D">
              <w:rPr>
                <w:i/>
                <w:iCs/>
                <w:noProof/>
                <w:color w:val="000000" w:themeColor="text1"/>
              </w:rPr>
              <w:t>(Yes/No)</w:t>
            </w:r>
            <w:r w:rsidRPr="4E03C77D">
              <w:rPr>
                <w:noProof/>
                <w:color w:val="000000" w:themeColor="text1"/>
              </w:rPr>
              <w:t xml:space="preserve"> </w:t>
            </w:r>
            <w:r w:rsidRPr="4E03C77D">
              <w:rPr>
                <w:b/>
                <w:bCs/>
                <w:noProof/>
                <w:color w:val="000000" w:themeColor="text1"/>
              </w:rPr>
              <w:t>In which sectors?</w:t>
            </w:r>
          </w:p>
        </w:tc>
      </w:tr>
      <w:tr w:rsidR="001A529D" w:rsidRPr="008928A0" w14:paraId="276B1D2E" w14:textId="77777777" w:rsidTr="00646A30">
        <w:tc>
          <w:tcPr>
            <w:tcW w:w="9214" w:type="dxa"/>
          </w:tcPr>
          <w:p w14:paraId="2BFD1714" w14:textId="5800F269" w:rsidR="001A529D" w:rsidRPr="00BA474D" w:rsidRDefault="00596C63">
            <w:pPr>
              <w:pStyle w:val="ListParagraph"/>
              <w:ind w:left="0"/>
              <w:rPr>
                <w:noProof/>
                <w:color w:val="000000" w:themeColor="text1"/>
                <w:sz w:val="22"/>
                <w:szCs w:val="22"/>
                <w:highlight w:val="lightGray"/>
              </w:rPr>
            </w:pPr>
            <w:r w:rsidRPr="00BA474D">
              <w:rPr>
                <w:noProof/>
                <w:color w:val="000000" w:themeColor="text1"/>
                <w:sz w:val="22"/>
                <w:szCs w:val="22"/>
              </w:rPr>
              <w:t>Yes</w:t>
            </w:r>
            <w:r w:rsidR="00B76AE9" w:rsidRPr="00BA474D">
              <w:rPr>
                <w:noProof/>
                <w:color w:val="000000" w:themeColor="text1"/>
                <w:sz w:val="22"/>
                <w:szCs w:val="22"/>
              </w:rPr>
              <w:t xml:space="preserve">. The proposal </w:t>
            </w:r>
            <w:r w:rsidR="002E5D33" w:rsidRPr="00BA474D">
              <w:rPr>
                <w:noProof/>
                <w:color w:val="000000" w:themeColor="text1"/>
                <w:sz w:val="22"/>
                <w:szCs w:val="22"/>
              </w:rPr>
              <w:t>is</w:t>
            </w:r>
            <w:r w:rsidR="00B76AE9" w:rsidRPr="00BA474D">
              <w:rPr>
                <w:noProof/>
                <w:color w:val="000000" w:themeColor="text1"/>
                <w:sz w:val="22"/>
                <w:szCs w:val="22"/>
              </w:rPr>
              <w:t xml:space="preserve"> horizontal </w:t>
            </w:r>
            <w:r w:rsidR="002E5D33" w:rsidRPr="00BA474D">
              <w:rPr>
                <w:noProof/>
                <w:color w:val="000000" w:themeColor="text1"/>
                <w:sz w:val="22"/>
                <w:szCs w:val="22"/>
              </w:rPr>
              <w:t>in</w:t>
            </w:r>
            <w:r w:rsidR="00B76AE9" w:rsidRPr="00BA474D">
              <w:rPr>
                <w:noProof/>
                <w:color w:val="000000" w:themeColor="text1"/>
                <w:sz w:val="22"/>
                <w:szCs w:val="22"/>
              </w:rPr>
              <w:t xml:space="preserve"> nature</w:t>
            </w:r>
            <w:r w:rsidR="00E443D1" w:rsidRPr="00BA474D">
              <w:rPr>
                <w:noProof/>
                <w:color w:val="000000" w:themeColor="text1"/>
                <w:sz w:val="22"/>
                <w:szCs w:val="22"/>
              </w:rPr>
              <w:t xml:space="preserve"> (</w:t>
            </w:r>
            <w:r w:rsidR="00FD363E" w:rsidRPr="00BA474D">
              <w:rPr>
                <w:noProof/>
                <w:color w:val="000000" w:themeColor="text1"/>
                <w:sz w:val="22"/>
                <w:szCs w:val="22"/>
              </w:rPr>
              <w:t>new</w:t>
            </w:r>
            <w:r w:rsidR="00A30AA4" w:rsidRPr="00BA474D">
              <w:rPr>
                <w:noProof/>
                <w:color w:val="000000" w:themeColor="text1"/>
                <w:sz w:val="22"/>
                <w:szCs w:val="22"/>
              </w:rPr>
              <w:t xml:space="preserve"> </w:t>
            </w:r>
            <w:r w:rsidR="00E443D1" w:rsidRPr="00BA474D">
              <w:rPr>
                <w:noProof/>
                <w:color w:val="000000" w:themeColor="text1"/>
                <w:sz w:val="22"/>
                <w:szCs w:val="22"/>
              </w:rPr>
              <w:t>EU corporate legal framework)</w:t>
            </w:r>
            <w:r w:rsidR="00A30AA4" w:rsidRPr="00BA474D">
              <w:rPr>
                <w:noProof/>
                <w:color w:val="000000" w:themeColor="text1"/>
                <w:sz w:val="22"/>
                <w:szCs w:val="22"/>
              </w:rPr>
              <w:t xml:space="preserve"> and</w:t>
            </w:r>
            <w:r w:rsidR="00B76AE9" w:rsidRPr="00BA474D">
              <w:rPr>
                <w:noProof/>
                <w:color w:val="000000" w:themeColor="text1"/>
                <w:sz w:val="22"/>
                <w:szCs w:val="22"/>
              </w:rPr>
              <w:t xml:space="preserve"> positively impact</w:t>
            </w:r>
            <w:r w:rsidR="00A30AA4" w:rsidRPr="00BA474D">
              <w:rPr>
                <w:noProof/>
                <w:color w:val="000000" w:themeColor="text1"/>
                <w:sz w:val="22"/>
                <w:szCs w:val="22"/>
              </w:rPr>
              <w:t>s</w:t>
            </w:r>
            <w:r w:rsidR="00B76AE9" w:rsidRPr="00BA474D">
              <w:rPr>
                <w:noProof/>
                <w:color w:val="000000" w:themeColor="text1"/>
                <w:sz w:val="22"/>
                <w:szCs w:val="22"/>
              </w:rPr>
              <w:t xml:space="preserve"> companies</w:t>
            </w:r>
            <w:r w:rsidR="005C594A" w:rsidRPr="00BA474D">
              <w:rPr>
                <w:noProof/>
                <w:color w:val="000000" w:themeColor="text1"/>
                <w:sz w:val="22"/>
                <w:szCs w:val="22"/>
              </w:rPr>
              <w:t xml:space="preserve"> </w:t>
            </w:r>
            <w:r w:rsidR="0009113B" w:rsidRPr="00BA474D">
              <w:rPr>
                <w:noProof/>
                <w:color w:val="000000" w:themeColor="text1"/>
                <w:sz w:val="22"/>
                <w:szCs w:val="22"/>
              </w:rPr>
              <w:t xml:space="preserve">regardless of </w:t>
            </w:r>
            <w:r w:rsidR="00B76AE9" w:rsidRPr="00BA474D">
              <w:rPr>
                <w:noProof/>
                <w:color w:val="000000" w:themeColor="text1"/>
                <w:sz w:val="22"/>
                <w:szCs w:val="22"/>
              </w:rPr>
              <w:t>their</w:t>
            </w:r>
            <w:r w:rsidR="0009113B" w:rsidRPr="00BA474D">
              <w:rPr>
                <w:noProof/>
                <w:color w:val="000000" w:themeColor="text1"/>
                <w:sz w:val="22"/>
                <w:szCs w:val="22"/>
              </w:rPr>
              <w:t xml:space="preserve"> sector of activity.</w:t>
            </w:r>
          </w:p>
        </w:tc>
      </w:tr>
      <w:tr w:rsidR="001A529D" w:rsidRPr="008928A0" w14:paraId="0572D289" w14:textId="77777777" w:rsidTr="00646A30">
        <w:tc>
          <w:tcPr>
            <w:tcW w:w="9214" w:type="dxa"/>
          </w:tcPr>
          <w:p w14:paraId="534B290E" w14:textId="77777777" w:rsidR="001A529D" w:rsidRPr="008928A0" w:rsidRDefault="001A529D">
            <w:pPr>
              <w:pStyle w:val="ListParagraph"/>
              <w:ind w:left="0"/>
              <w:contextualSpacing w:val="0"/>
              <w:rPr>
                <w:rFonts w:cstheme="minorHAnsi"/>
                <w:b/>
                <w:noProof/>
                <w:color w:val="000000" w:themeColor="text1"/>
              </w:rPr>
            </w:pPr>
            <w:r w:rsidRPr="008928A0">
              <w:rPr>
                <w:rFonts w:cstheme="minorHAnsi"/>
                <w:b/>
                <w:noProof/>
                <w:color w:val="000000" w:themeColor="text1"/>
              </w:rPr>
              <w:t xml:space="preserve">Estimated number of </w:t>
            </w:r>
            <w:r>
              <w:rPr>
                <w:rFonts w:cstheme="minorHAnsi"/>
                <w:b/>
                <w:noProof/>
                <w:color w:val="000000" w:themeColor="text1"/>
              </w:rPr>
              <w:t xml:space="preserve">directly </w:t>
            </w:r>
            <w:r w:rsidRPr="008928A0">
              <w:rPr>
                <w:rFonts w:cstheme="minorHAnsi"/>
                <w:b/>
                <w:noProof/>
                <w:color w:val="000000" w:themeColor="text1"/>
              </w:rPr>
              <w:t>affected SMEs</w:t>
            </w:r>
          </w:p>
        </w:tc>
      </w:tr>
      <w:tr w:rsidR="001A529D" w:rsidRPr="008928A0" w14:paraId="1D6F46D5" w14:textId="77777777" w:rsidTr="00646A30">
        <w:tc>
          <w:tcPr>
            <w:tcW w:w="9214" w:type="dxa"/>
          </w:tcPr>
          <w:p w14:paraId="21037A15" w14:textId="4928ABF7" w:rsidR="001A529D" w:rsidRPr="00BA474D" w:rsidRDefault="00B677E5" w:rsidP="00B90327">
            <w:pPr>
              <w:pStyle w:val="ListParagraph"/>
              <w:spacing w:after="120"/>
              <w:ind w:left="0"/>
              <w:rPr>
                <w:rFonts w:eastAsiaTheme="minorEastAsia"/>
                <w:noProof/>
                <w:color w:val="000000" w:themeColor="text1"/>
                <w:sz w:val="22"/>
                <w:szCs w:val="22"/>
              </w:rPr>
            </w:pPr>
            <w:r w:rsidRPr="00BA474D">
              <w:rPr>
                <w:rFonts w:eastAsiaTheme="minorEastAsia"/>
                <w:noProof/>
                <w:color w:val="000000" w:themeColor="text1"/>
                <w:sz w:val="22"/>
                <w:szCs w:val="22"/>
              </w:rPr>
              <w:t>It i</w:t>
            </w:r>
            <w:r w:rsidR="00253E80" w:rsidRPr="00BA474D">
              <w:rPr>
                <w:rFonts w:eastAsiaTheme="minorEastAsia"/>
                <w:noProof/>
                <w:color w:val="000000" w:themeColor="text1"/>
                <w:sz w:val="22"/>
                <w:szCs w:val="22"/>
              </w:rPr>
              <w:t>s</w:t>
            </w:r>
            <w:r w:rsidRPr="00BA474D">
              <w:rPr>
                <w:rFonts w:eastAsiaTheme="minorEastAsia"/>
                <w:noProof/>
                <w:color w:val="000000" w:themeColor="text1"/>
                <w:sz w:val="22"/>
                <w:szCs w:val="22"/>
              </w:rPr>
              <w:t xml:space="preserve"> estimated that there would be 308</w:t>
            </w:r>
            <w:r w:rsidR="00453A22" w:rsidRPr="00BA474D">
              <w:rPr>
                <w:rFonts w:eastAsiaTheme="minorEastAsia"/>
                <w:noProof/>
                <w:color w:val="000000" w:themeColor="text1"/>
                <w:sz w:val="22"/>
                <w:szCs w:val="22"/>
              </w:rPr>
              <w:t xml:space="preserve"> 843</w:t>
            </w:r>
            <w:r w:rsidRPr="00BA474D">
              <w:rPr>
                <w:rFonts w:eastAsiaTheme="minorEastAsia"/>
                <w:noProof/>
                <w:color w:val="000000" w:themeColor="text1"/>
                <w:sz w:val="22"/>
                <w:szCs w:val="22"/>
              </w:rPr>
              <w:t xml:space="preserve"> 28</w:t>
            </w:r>
            <w:r w:rsidRPr="00BA474D">
              <w:rPr>
                <w:rFonts w:eastAsiaTheme="minorEastAsia"/>
                <w:noProof/>
                <w:color w:val="000000" w:themeColor="text1"/>
                <w:sz w:val="22"/>
                <w:szCs w:val="22"/>
                <w:vertAlign w:val="superscript"/>
              </w:rPr>
              <w:t>th</w:t>
            </w:r>
            <w:r w:rsidRPr="00BA474D">
              <w:rPr>
                <w:rFonts w:eastAsiaTheme="minorEastAsia"/>
                <w:noProof/>
                <w:color w:val="000000" w:themeColor="text1"/>
                <w:sz w:val="22"/>
                <w:szCs w:val="22"/>
              </w:rPr>
              <w:t xml:space="preserve"> regime companies over </w:t>
            </w:r>
            <w:r w:rsidR="004F3604" w:rsidRPr="00BA474D">
              <w:rPr>
                <w:rFonts w:eastAsiaTheme="minorEastAsia"/>
                <w:noProof/>
                <w:color w:val="000000" w:themeColor="text1"/>
                <w:sz w:val="22"/>
                <w:szCs w:val="22"/>
              </w:rPr>
              <w:t>a</w:t>
            </w:r>
            <w:r w:rsidRPr="00BA474D">
              <w:rPr>
                <w:rFonts w:eastAsiaTheme="minorEastAsia"/>
                <w:noProof/>
                <w:color w:val="000000" w:themeColor="text1"/>
                <w:sz w:val="22"/>
                <w:szCs w:val="22"/>
              </w:rPr>
              <w:t xml:space="preserve"> </w:t>
            </w:r>
            <w:r w:rsidR="004F3604" w:rsidRPr="00BA474D">
              <w:rPr>
                <w:rFonts w:eastAsiaTheme="minorEastAsia"/>
                <w:noProof/>
                <w:color w:val="000000" w:themeColor="text1"/>
                <w:sz w:val="22"/>
                <w:szCs w:val="22"/>
              </w:rPr>
              <w:t>10-year</w:t>
            </w:r>
            <w:r w:rsidRPr="00BA474D">
              <w:rPr>
                <w:rFonts w:eastAsiaTheme="minorEastAsia"/>
                <w:noProof/>
                <w:color w:val="000000" w:themeColor="text1"/>
                <w:sz w:val="22"/>
                <w:szCs w:val="22"/>
              </w:rPr>
              <w:t xml:space="preserve"> period. 90% of those</w:t>
            </w:r>
            <w:r w:rsidR="00E02124" w:rsidRPr="00BA474D">
              <w:rPr>
                <w:rFonts w:eastAsiaTheme="minorEastAsia"/>
                <w:noProof/>
                <w:color w:val="000000" w:themeColor="text1"/>
                <w:sz w:val="22"/>
                <w:szCs w:val="22"/>
              </w:rPr>
              <w:t>,</w:t>
            </w:r>
            <w:r w:rsidRPr="00BA474D">
              <w:rPr>
                <w:rFonts w:eastAsiaTheme="minorEastAsia"/>
                <w:noProof/>
                <w:color w:val="000000" w:themeColor="text1"/>
                <w:sz w:val="22"/>
                <w:szCs w:val="22"/>
              </w:rPr>
              <w:t xml:space="preserve"> i.e. </w:t>
            </w:r>
            <w:r w:rsidR="0015164B" w:rsidRPr="00BA474D">
              <w:rPr>
                <w:rFonts w:eastAsiaTheme="minorEastAsia"/>
                <w:noProof/>
                <w:color w:val="000000" w:themeColor="text1"/>
                <w:sz w:val="22"/>
                <w:szCs w:val="22"/>
              </w:rPr>
              <w:t>277</w:t>
            </w:r>
            <w:r w:rsidR="00DA2304" w:rsidRPr="00BA474D">
              <w:rPr>
                <w:rFonts w:eastAsiaTheme="minorEastAsia"/>
                <w:noProof/>
                <w:color w:val="000000" w:themeColor="text1"/>
                <w:sz w:val="22"/>
                <w:szCs w:val="22"/>
              </w:rPr>
              <w:t> </w:t>
            </w:r>
            <w:r w:rsidR="00E96829" w:rsidRPr="00BA474D">
              <w:rPr>
                <w:rFonts w:eastAsiaTheme="minorEastAsia"/>
                <w:noProof/>
                <w:color w:val="000000" w:themeColor="text1"/>
                <w:sz w:val="22"/>
                <w:szCs w:val="22"/>
              </w:rPr>
              <w:t>958</w:t>
            </w:r>
            <w:r w:rsidRPr="00BA474D">
              <w:rPr>
                <w:rFonts w:eastAsiaTheme="minorEastAsia"/>
                <w:noProof/>
                <w:color w:val="000000" w:themeColor="text1"/>
                <w:sz w:val="22"/>
                <w:szCs w:val="22"/>
              </w:rPr>
              <w:t>,</w:t>
            </w:r>
            <w:r w:rsidR="001E0694" w:rsidRPr="00BA474D">
              <w:rPr>
                <w:rFonts w:eastAsiaTheme="minorEastAsia"/>
                <w:noProof/>
                <w:color w:val="000000" w:themeColor="text1"/>
                <w:sz w:val="22"/>
                <w:szCs w:val="22"/>
              </w:rPr>
              <w:t xml:space="preserve"> </w:t>
            </w:r>
            <w:r w:rsidR="00E02124" w:rsidRPr="00BA474D">
              <w:rPr>
                <w:rFonts w:eastAsiaTheme="minorEastAsia"/>
                <w:noProof/>
                <w:color w:val="000000" w:themeColor="text1"/>
                <w:sz w:val="22"/>
                <w:szCs w:val="22"/>
              </w:rPr>
              <w:t>are</w:t>
            </w:r>
            <w:r w:rsidRPr="00BA474D">
              <w:rPr>
                <w:rFonts w:eastAsiaTheme="minorEastAsia"/>
                <w:noProof/>
                <w:color w:val="000000" w:themeColor="text1"/>
                <w:sz w:val="22"/>
                <w:szCs w:val="22"/>
              </w:rPr>
              <w:t xml:space="preserve"> </w:t>
            </w:r>
            <w:r w:rsidR="0015164B" w:rsidRPr="00BA474D">
              <w:rPr>
                <w:rFonts w:eastAsiaTheme="minorEastAsia"/>
                <w:noProof/>
                <w:color w:val="000000" w:themeColor="text1"/>
                <w:sz w:val="22"/>
                <w:szCs w:val="22"/>
              </w:rPr>
              <w:t xml:space="preserve">estimated </w:t>
            </w:r>
            <w:r w:rsidR="00E53C79" w:rsidRPr="00BA474D">
              <w:rPr>
                <w:rFonts w:eastAsiaTheme="minorEastAsia"/>
                <w:noProof/>
                <w:color w:val="000000" w:themeColor="text1"/>
                <w:sz w:val="22"/>
                <w:szCs w:val="22"/>
              </w:rPr>
              <w:t xml:space="preserve">to be </w:t>
            </w:r>
            <w:r w:rsidR="001E0694" w:rsidRPr="00BA474D">
              <w:rPr>
                <w:rFonts w:eastAsiaTheme="minorEastAsia"/>
                <w:noProof/>
                <w:color w:val="000000" w:themeColor="text1"/>
                <w:sz w:val="22"/>
                <w:szCs w:val="22"/>
              </w:rPr>
              <w:t>set up by natural persons</w:t>
            </w:r>
            <w:r w:rsidR="00E46F38" w:rsidRPr="00BA474D">
              <w:rPr>
                <w:rFonts w:eastAsiaTheme="minorEastAsia"/>
                <w:noProof/>
                <w:color w:val="000000" w:themeColor="text1"/>
                <w:sz w:val="22"/>
                <w:szCs w:val="22"/>
              </w:rPr>
              <w:t xml:space="preserve"> </w:t>
            </w:r>
            <w:r w:rsidR="00E53C79" w:rsidRPr="00BA474D">
              <w:rPr>
                <w:rFonts w:eastAsiaTheme="minorEastAsia"/>
                <w:noProof/>
                <w:color w:val="000000" w:themeColor="text1"/>
                <w:sz w:val="22"/>
                <w:szCs w:val="22"/>
              </w:rPr>
              <w:t xml:space="preserve">and are thus expected </w:t>
            </w:r>
            <w:r w:rsidR="00403644" w:rsidRPr="00BA474D">
              <w:rPr>
                <w:rFonts w:eastAsiaTheme="minorEastAsia"/>
                <w:noProof/>
                <w:color w:val="000000" w:themeColor="text1"/>
                <w:sz w:val="22"/>
                <w:szCs w:val="22"/>
              </w:rPr>
              <w:t>to be micro or small companies</w:t>
            </w:r>
            <w:r w:rsidR="002A3F67" w:rsidRPr="00BA474D">
              <w:rPr>
                <w:rFonts w:eastAsiaTheme="minorEastAsia"/>
                <w:noProof/>
                <w:color w:val="000000" w:themeColor="text1"/>
                <w:sz w:val="22"/>
                <w:szCs w:val="22"/>
              </w:rPr>
              <w:t>.</w:t>
            </w:r>
            <w:r w:rsidR="00403644" w:rsidRPr="00BA474D">
              <w:rPr>
                <w:rFonts w:eastAsiaTheme="minorEastAsia"/>
                <w:noProof/>
                <w:color w:val="000000" w:themeColor="text1"/>
                <w:sz w:val="22"/>
                <w:szCs w:val="22"/>
              </w:rPr>
              <w:t xml:space="preserve"> </w:t>
            </w:r>
            <w:r w:rsidR="00E06D2F" w:rsidRPr="00BA474D">
              <w:rPr>
                <w:rFonts w:eastAsiaTheme="minorEastAsia"/>
                <w:noProof/>
                <w:color w:val="000000" w:themeColor="text1"/>
                <w:sz w:val="22"/>
                <w:szCs w:val="22"/>
              </w:rPr>
              <w:t>The remaining 10</w:t>
            </w:r>
            <w:r w:rsidR="00253E80" w:rsidRPr="00BA474D">
              <w:rPr>
                <w:rFonts w:eastAsiaTheme="minorEastAsia"/>
                <w:noProof/>
                <w:color w:val="000000" w:themeColor="text1"/>
                <w:sz w:val="22"/>
                <w:szCs w:val="22"/>
              </w:rPr>
              <w:t xml:space="preserve">% are </w:t>
            </w:r>
            <w:r w:rsidR="007702B5" w:rsidRPr="00BA474D">
              <w:rPr>
                <w:rFonts w:eastAsiaTheme="minorEastAsia"/>
                <w:noProof/>
                <w:color w:val="000000" w:themeColor="text1"/>
                <w:sz w:val="22"/>
                <w:szCs w:val="22"/>
              </w:rPr>
              <w:t xml:space="preserve">estimated </w:t>
            </w:r>
            <w:r w:rsidR="00253E80" w:rsidRPr="00BA474D">
              <w:rPr>
                <w:rFonts w:eastAsiaTheme="minorEastAsia"/>
                <w:noProof/>
                <w:color w:val="000000" w:themeColor="text1"/>
                <w:sz w:val="22"/>
                <w:szCs w:val="22"/>
              </w:rPr>
              <w:t xml:space="preserve">to </w:t>
            </w:r>
            <w:r w:rsidR="00653FF6" w:rsidRPr="00BA474D">
              <w:rPr>
                <w:rFonts w:eastAsiaTheme="minorEastAsia"/>
                <w:noProof/>
                <w:color w:val="000000" w:themeColor="text1"/>
                <w:sz w:val="22"/>
                <w:szCs w:val="22"/>
              </w:rPr>
              <w:t xml:space="preserve">be </w:t>
            </w:r>
            <w:r w:rsidR="007B68B7" w:rsidRPr="00BA474D">
              <w:rPr>
                <w:rFonts w:eastAsiaTheme="minorEastAsia"/>
                <w:noProof/>
                <w:color w:val="000000" w:themeColor="text1"/>
                <w:sz w:val="22"/>
                <w:szCs w:val="22"/>
              </w:rPr>
              <w:t xml:space="preserve">set up </w:t>
            </w:r>
            <w:r w:rsidR="00653FF6" w:rsidRPr="00BA474D">
              <w:rPr>
                <w:rFonts w:eastAsiaTheme="minorEastAsia"/>
                <w:noProof/>
                <w:color w:val="000000" w:themeColor="text1"/>
                <w:sz w:val="22"/>
                <w:szCs w:val="22"/>
              </w:rPr>
              <w:t xml:space="preserve">by legal </w:t>
            </w:r>
            <w:r w:rsidR="00E06D2F" w:rsidRPr="00BA474D">
              <w:rPr>
                <w:rFonts w:eastAsiaTheme="minorEastAsia"/>
                <w:noProof/>
                <w:color w:val="000000" w:themeColor="text1"/>
                <w:sz w:val="22"/>
                <w:szCs w:val="22"/>
              </w:rPr>
              <w:t>persons</w:t>
            </w:r>
            <w:r w:rsidR="00653FF6" w:rsidRPr="00BA474D">
              <w:rPr>
                <w:rFonts w:eastAsiaTheme="minorEastAsia"/>
                <w:noProof/>
                <w:color w:val="000000" w:themeColor="text1"/>
                <w:sz w:val="22"/>
                <w:szCs w:val="22"/>
              </w:rPr>
              <w:t xml:space="preserve"> </w:t>
            </w:r>
            <w:r w:rsidR="00E06D2F" w:rsidRPr="00BA474D">
              <w:rPr>
                <w:rFonts w:eastAsiaTheme="minorEastAsia"/>
                <w:noProof/>
                <w:color w:val="000000" w:themeColor="text1"/>
                <w:sz w:val="22"/>
                <w:szCs w:val="22"/>
              </w:rPr>
              <w:t>or</w:t>
            </w:r>
            <w:r w:rsidR="008F5C5D" w:rsidRPr="00BA474D">
              <w:rPr>
                <w:rFonts w:eastAsiaTheme="minorEastAsia"/>
                <w:noProof/>
                <w:color w:val="000000" w:themeColor="text1"/>
                <w:sz w:val="22"/>
                <w:szCs w:val="22"/>
              </w:rPr>
              <w:t xml:space="preserve"> by</w:t>
            </w:r>
            <w:r w:rsidR="007B68B7" w:rsidRPr="00BA474D">
              <w:rPr>
                <w:rFonts w:eastAsiaTheme="minorEastAsia"/>
                <w:noProof/>
                <w:color w:val="000000" w:themeColor="text1"/>
                <w:sz w:val="22"/>
                <w:szCs w:val="22"/>
              </w:rPr>
              <w:t xml:space="preserve"> transforming existing companies into 28</w:t>
            </w:r>
            <w:r w:rsidR="007B68B7" w:rsidRPr="00BA474D">
              <w:rPr>
                <w:rFonts w:eastAsiaTheme="minorEastAsia"/>
                <w:noProof/>
                <w:color w:val="000000" w:themeColor="text1"/>
                <w:sz w:val="22"/>
                <w:szCs w:val="22"/>
                <w:vertAlign w:val="superscript"/>
              </w:rPr>
              <w:t>th</w:t>
            </w:r>
            <w:r w:rsidR="007B68B7" w:rsidRPr="00BA474D">
              <w:rPr>
                <w:rFonts w:eastAsiaTheme="minorEastAsia"/>
                <w:noProof/>
                <w:color w:val="000000" w:themeColor="text1"/>
                <w:sz w:val="22"/>
                <w:szCs w:val="22"/>
              </w:rPr>
              <w:t xml:space="preserve"> regime companies </w:t>
            </w:r>
            <w:r w:rsidR="008F5C5D" w:rsidRPr="00BA474D">
              <w:rPr>
                <w:rFonts w:eastAsiaTheme="minorEastAsia"/>
                <w:noProof/>
                <w:color w:val="000000" w:themeColor="text1"/>
                <w:sz w:val="22"/>
                <w:szCs w:val="22"/>
              </w:rPr>
              <w:t>(</w:t>
            </w:r>
            <w:r w:rsidR="007B68B7" w:rsidRPr="00BA474D">
              <w:rPr>
                <w:rFonts w:eastAsiaTheme="minorEastAsia"/>
                <w:noProof/>
                <w:color w:val="000000" w:themeColor="text1"/>
                <w:sz w:val="22"/>
                <w:szCs w:val="22"/>
              </w:rPr>
              <w:t>through domestic conversion or through cross-border mergers, divisions or conversions</w:t>
            </w:r>
            <w:r w:rsidR="008F5C5D" w:rsidRPr="00BA474D">
              <w:rPr>
                <w:rFonts w:eastAsiaTheme="minorEastAsia"/>
                <w:noProof/>
                <w:color w:val="000000" w:themeColor="text1"/>
                <w:sz w:val="22"/>
                <w:szCs w:val="22"/>
              </w:rPr>
              <w:t>)</w:t>
            </w:r>
            <w:r w:rsidR="007B68B7" w:rsidRPr="00BA474D">
              <w:rPr>
                <w:rFonts w:eastAsiaTheme="minorEastAsia"/>
                <w:noProof/>
                <w:color w:val="000000" w:themeColor="text1"/>
                <w:sz w:val="22"/>
                <w:szCs w:val="22"/>
              </w:rPr>
              <w:t xml:space="preserve">. </w:t>
            </w:r>
            <w:r w:rsidR="008A562A" w:rsidRPr="00BA474D">
              <w:rPr>
                <w:rFonts w:eastAsiaTheme="minorEastAsia"/>
                <w:noProof/>
                <w:color w:val="000000" w:themeColor="text1"/>
                <w:sz w:val="22"/>
                <w:szCs w:val="22"/>
              </w:rPr>
              <w:t xml:space="preserve">Those are expected to include </w:t>
            </w:r>
            <w:r w:rsidR="00856F75" w:rsidRPr="00BA474D">
              <w:rPr>
                <w:rFonts w:eastAsiaTheme="minorEastAsia"/>
                <w:noProof/>
                <w:color w:val="000000" w:themeColor="text1"/>
                <w:sz w:val="22"/>
                <w:szCs w:val="22"/>
              </w:rPr>
              <w:t>some small and in particular medium size</w:t>
            </w:r>
            <w:r w:rsidR="00AC62D9" w:rsidRPr="00BA474D">
              <w:rPr>
                <w:rFonts w:eastAsiaTheme="minorEastAsia"/>
                <w:noProof/>
                <w:color w:val="000000" w:themeColor="text1"/>
                <w:sz w:val="22"/>
                <w:szCs w:val="22"/>
              </w:rPr>
              <w:t xml:space="preserve"> companies</w:t>
            </w:r>
            <w:r w:rsidR="00856F75" w:rsidRPr="00BA474D">
              <w:rPr>
                <w:rFonts w:eastAsiaTheme="minorEastAsia"/>
                <w:noProof/>
                <w:color w:val="000000" w:themeColor="text1"/>
                <w:sz w:val="22"/>
                <w:szCs w:val="22"/>
              </w:rPr>
              <w:t xml:space="preserve"> (scale-ups)</w:t>
            </w:r>
            <w:r w:rsidR="00BC6A67" w:rsidRPr="00BA474D">
              <w:rPr>
                <w:rFonts w:eastAsiaTheme="minorEastAsia"/>
                <w:noProof/>
                <w:color w:val="000000" w:themeColor="text1"/>
                <w:sz w:val="22"/>
                <w:szCs w:val="22"/>
              </w:rPr>
              <w:t xml:space="preserve">. </w:t>
            </w:r>
          </w:p>
        </w:tc>
      </w:tr>
      <w:tr w:rsidR="001A529D" w:rsidRPr="008928A0" w14:paraId="16DA5F9F" w14:textId="77777777" w:rsidTr="00646A30">
        <w:tc>
          <w:tcPr>
            <w:tcW w:w="9214" w:type="dxa"/>
          </w:tcPr>
          <w:p w14:paraId="50FD0CA1" w14:textId="77777777" w:rsidR="001A529D" w:rsidRPr="008928A0" w:rsidRDefault="001A529D">
            <w:pPr>
              <w:pStyle w:val="ListParagraph"/>
              <w:ind w:left="0"/>
              <w:contextualSpacing w:val="0"/>
              <w:rPr>
                <w:rFonts w:cstheme="minorHAnsi"/>
                <w:b/>
                <w:noProof/>
                <w:color w:val="000000" w:themeColor="text1"/>
              </w:rPr>
            </w:pPr>
            <w:r w:rsidRPr="008928A0">
              <w:rPr>
                <w:rFonts w:cstheme="minorHAnsi"/>
                <w:b/>
                <w:noProof/>
                <w:color w:val="000000" w:themeColor="text1"/>
              </w:rPr>
              <w:t xml:space="preserve">Estimated number </w:t>
            </w:r>
            <w:r>
              <w:rPr>
                <w:rFonts w:cstheme="minorHAnsi"/>
                <w:b/>
                <w:noProof/>
                <w:color w:val="000000" w:themeColor="text1"/>
              </w:rPr>
              <w:t xml:space="preserve">of employees in directly affected </w:t>
            </w:r>
            <w:r w:rsidRPr="008928A0">
              <w:rPr>
                <w:rFonts w:cstheme="minorHAnsi"/>
                <w:b/>
                <w:noProof/>
                <w:color w:val="000000" w:themeColor="text1"/>
              </w:rPr>
              <w:t>SME</w:t>
            </w:r>
            <w:r>
              <w:rPr>
                <w:rFonts w:cstheme="minorHAnsi"/>
                <w:b/>
                <w:noProof/>
                <w:color w:val="000000" w:themeColor="text1"/>
              </w:rPr>
              <w:t>s</w:t>
            </w:r>
          </w:p>
        </w:tc>
      </w:tr>
      <w:tr w:rsidR="001A529D" w:rsidRPr="008928A0" w14:paraId="6FC5A344" w14:textId="77777777" w:rsidTr="00646A30">
        <w:tc>
          <w:tcPr>
            <w:tcW w:w="9214" w:type="dxa"/>
          </w:tcPr>
          <w:p w14:paraId="52931626" w14:textId="1897E5FA" w:rsidR="001A529D" w:rsidRPr="00BA474D" w:rsidRDefault="00BB6B6E" w:rsidP="00B90327">
            <w:pPr>
              <w:pStyle w:val="ListParagraph"/>
              <w:spacing w:after="120"/>
              <w:ind w:left="0"/>
              <w:rPr>
                <w:rFonts w:eastAsiaTheme="minorEastAsia"/>
                <w:noProof/>
                <w:color w:val="000000" w:themeColor="text1"/>
                <w:sz w:val="22"/>
                <w:szCs w:val="22"/>
              </w:rPr>
            </w:pPr>
            <w:r w:rsidRPr="00BA474D">
              <w:rPr>
                <w:rFonts w:eastAsiaTheme="minorEastAsia"/>
                <w:noProof/>
                <w:color w:val="000000" w:themeColor="text1"/>
                <w:sz w:val="22"/>
                <w:szCs w:val="22"/>
              </w:rPr>
              <w:t xml:space="preserve">The estimated number of employees is linked to the estimated cumulative uptake of </w:t>
            </w:r>
            <w:r w:rsidR="00764C7E" w:rsidRPr="00BA474D">
              <w:rPr>
                <w:rFonts w:eastAsiaTheme="minorEastAsia"/>
                <w:noProof/>
                <w:color w:val="000000" w:themeColor="text1"/>
                <w:sz w:val="22"/>
                <w:szCs w:val="22"/>
              </w:rPr>
              <w:t>around</w:t>
            </w:r>
            <w:r w:rsidRPr="00BA474D">
              <w:rPr>
                <w:rFonts w:eastAsiaTheme="minorEastAsia"/>
                <w:noProof/>
                <w:color w:val="000000" w:themeColor="text1"/>
                <w:sz w:val="22"/>
                <w:szCs w:val="22"/>
              </w:rPr>
              <w:t xml:space="preserve"> 30</w:t>
            </w:r>
            <w:r w:rsidR="00AC2CA0" w:rsidRPr="00BA474D">
              <w:rPr>
                <w:rFonts w:eastAsiaTheme="minorEastAsia"/>
                <w:noProof/>
                <w:color w:val="000000" w:themeColor="text1"/>
                <w:sz w:val="22"/>
                <w:szCs w:val="22"/>
              </w:rPr>
              <w:t>0 000</w:t>
            </w:r>
            <w:r w:rsidRPr="00BA474D">
              <w:rPr>
                <w:rFonts w:eastAsiaTheme="minorEastAsia"/>
                <w:noProof/>
                <w:color w:val="000000" w:themeColor="text1"/>
                <w:sz w:val="22"/>
                <w:szCs w:val="22"/>
              </w:rPr>
              <w:t xml:space="preserve"> </w:t>
            </w:r>
            <w:r w:rsidR="009E415A" w:rsidRPr="00BA474D">
              <w:rPr>
                <w:rFonts w:eastAsiaTheme="minorEastAsia"/>
                <w:noProof/>
                <w:color w:val="000000" w:themeColor="text1"/>
                <w:sz w:val="22"/>
                <w:szCs w:val="22"/>
              </w:rPr>
              <w:t xml:space="preserve">of </w:t>
            </w:r>
            <w:r w:rsidR="00C95AEC" w:rsidRPr="00BA474D">
              <w:rPr>
                <w:rFonts w:eastAsiaTheme="minorEastAsia"/>
                <w:noProof/>
                <w:color w:val="000000" w:themeColor="text1"/>
                <w:sz w:val="22"/>
                <w:szCs w:val="22"/>
              </w:rPr>
              <w:t>28</w:t>
            </w:r>
            <w:r w:rsidR="00C95AEC" w:rsidRPr="00BA474D">
              <w:rPr>
                <w:rFonts w:eastAsiaTheme="minorEastAsia"/>
                <w:noProof/>
                <w:color w:val="000000" w:themeColor="text1"/>
                <w:sz w:val="22"/>
                <w:szCs w:val="22"/>
                <w:vertAlign w:val="superscript"/>
              </w:rPr>
              <w:t>th</w:t>
            </w:r>
            <w:r w:rsidR="00C95AEC" w:rsidRPr="00BA474D">
              <w:rPr>
                <w:rFonts w:eastAsiaTheme="minorEastAsia"/>
                <w:noProof/>
                <w:color w:val="000000" w:themeColor="text1"/>
                <w:sz w:val="22"/>
                <w:szCs w:val="22"/>
              </w:rPr>
              <w:t xml:space="preserve"> regime companies </w:t>
            </w:r>
            <w:r w:rsidRPr="00BA474D">
              <w:rPr>
                <w:rFonts w:eastAsiaTheme="minorEastAsia"/>
                <w:noProof/>
                <w:color w:val="000000" w:themeColor="text1"/>
                <w:sz w:val="22"/>
                <w:szCs w:val="22"/>
              </w:rPr>
              <w:t>over 10 years</w:t>
            </w:r>
            <w:r w:rsidR="00C95AEC" w:rsidRPr="00BA474D">
              <w:rPr>
                <w:rFonts w:eastAsiaTheme="minorEastAsia"/>
                <w:noProof/>
                <w:color w:val="000000" w:themeColor="text1"/>
                <w:sz w:val="22"/>
                <w:szCs w:val="22"/>
              </w:rPr>
              <w:t xml:space="preserve">. </w:t>
            </w:r>
            <w:r w:rsidR="00272868" w:rsidRPr="00BA474D">
              <w:rPr>
                <w:rFonts w:eastAsiaTheme="minorEastAsia"/>
                <w:noProof/>
                <w:color w:val="000000" w:themeColor="text1"/>
                <w:sz w:val="22"/>
                <w:szCs w:val="22"/>
              </w:rPr>
              <w:t>I</w:t>
            </w:r>
            <w:r w:rsidR="00363F66" w:rsidRPr="00BA474D">
              <w:rPr>
                <w:rFonts w:eastAsiaTheme="minorEastAsia"/>
                <w:noProof/>
                <w:color w:val="000000" w:themeColor="text1"/>
                <w:sz w:val="22"/>
                <w:szCs w:val="22"/>
              </w:rPr>
              <w:t xml:space="preserve">t is estimated that those companies </w:t>
            </w:r>
            <w:r w:rsidR="00373A49" w:rsidRPr="00BA474D">
              <w:rPr>
                <w:rFonts w:eastAsiaTheme="minorEastAsia"/>
                <w:noProof/>
                <w:color w:val="000000" w:themeColor="text1"/>
                <w:sz w:val="22"/>
                <w:szCs w:val="22"/>
              </w:rPr>
              <w:t>would employ around</w:t>
            </w:r>
            <w:r w:rsidRPr="00BA474D">
              <w:rPr>
                <w:rFonts w:eastAsiaTheme="minorEastAsia"/>
                <w:noProof/>
                <w:color w:val="000000" w:themeColor="text1"/>
                <w:sz w:val="22"/>
                <w:szCs w:val="22"/>
              </w:rPr>
              <w:t xml:space="preserve"> </w:t>
            </w:r>
            <w:r w:rsidR="00D61F26" w:rsidRPr="00BA474D">
              <w:rPr>
                <w:rFonts w:eastAsiaTheme="minorEastAsia"/>
                <w:noProof/>
                <w:color w:val="000000" w:themeColor="text1"/>
                <w:sz w:val="22"/>
                <w:szCs w:val="22"/>
              </w:rPr>
              <w:t>1</w:t>
            </w:r>
            <w:r w:rsidR="00DA2304" w:rsidRPr="00BA474D">
              <w:rPr>
                <w:rFonts w:eastAsiaTheme="minorEastAsia"/>
                <w:noProof/>
                <w:color w:val="000000" w:themeColor="text1"/>
                <w:sz w:val="22"/>
                <w:szCs w:val="22"/>
              </w:rPr>
              <w:t> </w:t>
            </w:r>
            <w:r w:rsidR="000241CC" w:rsidRPr="00BA474D">
              <w:rPr>
                <w:rFonts w:eastAsiaTheme="minorEastAsia"/>
                <w:noProof/>
                <w:color w:val="000000" w:themeColor="text1"/>
                <w:sz w:val="22"/>
                <w:szCs w:val="22"/>
              </w:rPr>
              <w:t>60</w:t>
            </w:r>
            <w:r w:rsidR="00D61F26" w:rsidRPr="00BA474D">
              <w:rPr>
                <w:rFonts w:eastAsiaTheme="minorEastAsia"/>
                <w:noProof/>
                <w:color w:val="000000" w:themeColor="text1"/>
                <w:sz w:val="22"/>
                <w:szCs w:val="22"/>
              </w:rPr>
              <w:t>0</w:t>
            </w:r>
            <w:r w:rsidR="00DA2304" w:rsidRPr="00BA474D">
              <w:rPr>
                <w:rFonts w:eastAsiaTheme="minorEastAsia"/>
                <w:noProof/>
                <w:color w:val="000000" w:themeColor="text1"/>
                <w:sz w:val="22"/>
                <w:szCs w:val="22"/>
              </w:rPr>
              <w:t> </w:t>
            </w:r>
            <w:r w:rsidR="00D61F26" w:rsidRPr="00BA474D">
              <w:rPr>
                <w:rFonts w:eastAsiaTheme="minorEastAsia"/>
                <w:noProof/>
                <w:color w:val="000000" w:themeColor="text1"/>
                <w:sz w:val="22"/>
                <w:szCs w:val="22"/>
              </w:rPr>
              <w:t xml:space="preserve">000 </w:t>
            </w:r>
            <w:r w:rsidR="00C95AEC" w:rsidRPr="00BA474D">
              <w:rPr>
                <w:rFonts w:eastAsiaTheme="minorEastAsia"/>
                <w:noProof/>
                <w:color w:val="000000" w:themeColor="text1"/>
                <w:sz w:val="22"/>
                <w:szCs w:val="22"/>
              </w:rPr>
              <w:t>employees</w:t>
            </w:r>
            <w:r w:rsidR="0026072F" w:rsidRPr="00BA474D">
              <w:rPr>
                <w:rFonts w:eastAsiaTheme="minorEastAsia"/>
                <w:noProof/>
                <w:color w:val="000000" w:themeColor="text1"/>
                <w:sz w:val="22"/>
                <w:szCs w:val="22"/>
              </w:rPr>
              <w:t xml:space="preserve"> after 10 years</w:t>
            </w:r>
            <w:r w:rsidR="002A3F67" w:rsidRPr="00BA474D">
              <w:rPr>
                <w:rFonts w:eastAsiaTheme="minorEastAsia"/>
                <w:noProof/>
                <w:color w:val="000000" w:themeColor="text1"/>
                <w:sz w:val="22"/>
                <w:szCs w:val="22"/>
              </w:rPr>
              <w:t>.</w:t>
            </w:r>
          </w:p>
        </w:tc>
      </w:tr>
      <w:tr w:rsidR="001A529D" w:rsidRPr="008928A0" w14:paraId="2BB8E708" w14:textId="77777777" w:rsidTr="00646A30">
        <w:tc>
          <w:tcPr>
            <w:tcW w:w="9214" w:type="dxa"/>
          </w:tcPr>
          <w:p w14:paraId="0C156463" w14:textId="77777777" w:rsidR="001A529D" w:rsidRPr="008928A0" w:rsidRDefault="001A529D" w:rsidP="00B90327">
            <w:pPr>
              <w:pStyle w:val="ListParagraph"/>
              <w:spacing w:after="120"/>
              <w:ind w:left="0"/>
              <w:rPr>
                <w:b/>
                <w:bCs/>
                <w:noProof/>
                <w:color w:val="000000" w:themeColor="text1"/>
              </w:rPr>
            </w:pPr>
            <w:r w:rsidRPr="4E03C77D">
              <w:rPr>
                <w:b/>
                <w:bCs/>
                <w:noProof/>
                <w:color w:val="000000" w:themeColor="text1"/>
              </w:rPr>
              <w:t xml:space="preserve">Are SMEs indirectly affected? </w:t>
            </w:r>
            <w:r w:rsidRPr="4E03C77D">
              <w:rPr>
                <w:i/>
                <w:iCs/>
                <w:noProof/>
                <w:color w:val="000000" w:themeColor="text1"/>
              </w:rPr>
              <w:t>(Yes/No)</w:t>
            </w:r>
            <w:r w:rsidRPr="4E03C77D">
              <w:rPr>
                <w:b/>
                <w:bCs/>
                <w:noProof/>
                <w:color w:val="000000" w:themeColor="text1"/>
              </w:rPr>
              <w:t xml:space="preserve"> In which sectors? What is the estimated number of indirectly affected SMEs and employees?</w:t>
            </w:r>
          </w:p>
        </w:tc>
      </w:tr>
      <w:tr w:rsidR="001A529D" w:rsidRPr="008928A0" w14:paraId="34FAC99A" w14:textId="77777777" w:rsidTr="00646A30">
        <w:trPr>
          <w:trHeight w:val="300"/>
        </w:trPr>
        <w:tc>
          <w:tcPr>
            <w:tcW w:w="9214" w:type="dxa"/>
          </w:tcPr>
          <w:p w14:paraId="6F83F92B" w14:textId="7924943E" w:rsidR="001A529D" w:rsidRPr="007639E6" w:rsidRDefault="0026066E" w:rsidP="00B90327">
            <w:pPr>
              <w:pStyle w:val="ListParagraph"/>
              <w:spacing w:after="120"/>
              <w:ind w:left="0"/>
              <w:rPr>
                <w:noProof/>
                <w:color w:val="000000" w:themeColor="text1"/>
                <w:sz w:val="22"/>
                <w:szCs w:val="22"/>
              </w:rPr>
            </w:pPr>
            <w:r w:rsidRPr="00BA474D">
              <w:rPr>
                <w:noProof/>
                <w:color w:val="000000" w:themeColor="text1"/>
                <w:sz w:val="22"/>
                <w:szCs w:val="22"/>
              </w:rPr>
              <w:t>Yes</w:t>
            </w:r>
            <w:r w:rsidR="00E7168A" w:rsidRPr="00BA474D">
              <w:rPr>
                <w:noProof/>
                <w:color w:val="000000" w:themeColor="text1"/>
                <w:sz w:val="22"/>
                <w:szCs w:val="22"/>
              </w:rPr>
              <w:t xml:space="preserve">, potentially for all 26 mio. SMEs and their </w:t>
            </w:r>
            <w:r w:rsidR="00FA2DC0" w:rsidRPr="00BA474D">
              <w:rPr>
                <w:noProof/>
                <w:color w:val="000000" w:themeColor="text1"/>
                <w:sz w:val="22"/>
                <w:szCs w:val="22"/>
              </w:rPr>
              <w:t>89-90</w:t>
            </w:r>
            <w:r w:rsidR="000E11E5" w:rsidRPr="00BA474D">
              <w:rPr>
                <w:noProof/>
                <w:color w:val="000000" w:themeColor="text1"/>
                <w:sz w:val="22"/>
                <w:szCs w:val="22"/>
              </w:rPr>
              <w:t xml:space="preserve"> million</w:t>
            </w:r>
            <w:r w:rsidR="00E7168A" w:rsidRPr="00BA474D">
              <w:rPr>
                <w:noProof/>
                <w:color w:val="000000" w:themeColor="text1"/>
                <w:sz w:val="22"/>
                <w:szCs w:val="22"/>
              </w:rPr>
              <w:t xml:space="preserve"> employees across sectors</w:t>
            </w:r>
            <w:r w:rsidR="009044E7" w:rsidRPr="00BA474D">
              <w:rPr>
                <w:noProof/>
                <w:color w:val="000000" w:themeColor="text1"/>
                <w:sz w:val="22"/>
                <w:szCs w:val="22"/>
              </w:rPr>
              <w:t xml:space="preserve"> (see (3) below for the </w:t>
            </w:r>
            <w:r w:rsidR="00A17CF8" w:rsidRPr="00BA474D">
              <w:rPr>
                <w:noProof/>
                <w:color w:val="000000" w:themeColor="text1"/>
                <w:sz w:val="22"/>
                <w:szCs w:val="22"/>
              </w:rPr>
              <w:t xml:space="preserve">expected </w:t>
            </w:r>
            <w:r w:rsidR="00661C71" w:rsidRPr="00BA474D">
              <w:rPr>
                <w:noProof/>
                <w:color w:val="000000" w:themeColor="text1"/>
                <w:sz w:val="22"/>
                <w:szCs w:val="22"/>
              </w:rPr>
              <w:t>indirect impacts)</w:t>
            </w:r>
            <w:r w:rsidRPr="00BA474D">
              <w:rPr>
                <w:noProof/>
                <w:color w:val="000000" w:themeColor="text1"/>
                <w:sz w:val="22"/>
                <w:szCs w:val="22"/>
              </w:rPr>
              <w:t>.</w:t>
            </w:r>
            <w:r w:rsidR="00A17CF8" w:rsidRPr="00BA474D">
              <w:rPr>
                <w:noProof/>
                <w:color w:val="000000" w:themeColor="text1"/>
                <w:sz w:val="22"/>
                <w:szCs w:val="22"/>
              </w:rPr>
              <w:t xml:space="preserve"> </w:t>
            </w:r>
          </w:p>
        </w:tc>
      </w:tr>
      <w:tr w:rsidR="001A529D" w:rsidRPr="00AF61BA" w14:paraId="4A2DDC42" w14:textId="77777777" w:rsidTr="00646A30">
        <w:tc>
          <w:tcPr>
            <w:tcW w:w="9214" w:type="dxa"/>
          </w:tcPr>
          <w:p w14:paraId="6F55D088" w14:textId="77777777" w:rsidR="001A529D" w:rsidRPr="00AF61BA" w:rsidRDefault="001A529D" w:rsidP="00B87DBD">
            <w:pPr>
              <w:pStyle w:val="ListParagraph"/>
              <w:numPr>
                <w:ilvl w:val="0"/>
                <w:numId w:val="7"/>
              </w:numPr>
              <w:spacing w:after="0"/>
              <w:rPr>
                <w:smallCaps/>
                <w:noProof/>
                <w:color w:val="000000" w:themeColor="text1"/>
              </w:rPr>
            </w:pPr>
            <w:r w:rsidRPr="4E03C77D">
              <w:rPr>
                <w:b/>
                <w:bCs/>
                <w:smallCaps/>
                <w:noProof/>
                <w:color w:val="000000" w:themeColor="text1"/>
              </w:rPr>
              <w:t>Consultation of SME stakeholders</w:t>
            </w:r>
          </w:p>
        </w:tc>
      </w:tr>
      <w:tr w:rsidR="001A529D" w:rsidRPr="00AF61BA" w14:paraId="0DBCE1B1" w14:textId="77777777" w:rsidTr="00646A30">
        <w:tc>
          <w:tcPr>
            <w:tcW w:w="9214" w:type="dxa"/>
          </w:tcPr>
          <w:p w14:paraId="5C679B47" w14:textId="77777777" w:rsidR="001A529D" w:rsidRPr="001A529D" w:rsidRDefault="001A529D">
            <w:pPr>
              <w:pStyle w:val="ListParagraph"/>
              <w:ind w:left="0"/>
              <w:contextualSpacing w:val="0"/>
              <w:rPr>
                <w:rFonts w:cstheme="minorHAnsi"/>
                <w:b/>
                <w:noProof/>
                <w:color w:val="000000" w:themeColor="text1"/>
                <w:highlight w:val="lightGray"/>
              </w:rPr>
            </w:pPr>
            <w:r w:rsidRPr="00AF61BA">
              <w:rPr>
                <w:rFonts w:cstheme="minorHAnsi"/>
                <w:b/>
                <w:noProof/>
                <w:color w:val="000000" w:themeColor="text1"/>
              </w:rPr>
              <w:t>How has the input from the SME community been taken into consideration?</w:t>
            </w:r>
          </w:p>
        </w:tc>
      </w:tr>
      <w:tr w:rsidR="001A529D" w:rsidRPr="00AF61BA" w14:paraId="644D0D58" w14:textId="77777777" w:rsidTr="00646A30">
        <w:tc>
          <w:tcPr>
            <w:tcW w:w="9214" w:type="dxa"/>
            <w:tcBorders>
              <w:bottom w:val="single" w:sz="4" w:space="0" w:color="auto"/>
            </w:tcBorders>
          </w:tcPr>
          <w:p w14:paraId="7B45E1B3" w14:textId="73AAC674" w:rsidR="00CF5893" w:rsidRPr="00BA474D" w:rsidRDefault="00D71CE2" w:rsidP="00D13455">
            <w:pPr>
              <w:spacing w:after="120"/>
              <w:rPr>
                <w:noProof/>
                <w:sz w:val="22"/>
                <w:szCs w:val="22"/>
              </w:rPr>
            </w:pPr>
            <w:r w:rsidRPr="00BA474D">
              <w:rPr>
                <w:noProof/>
                <w:sz w:val="22"/>
                <w:szCs w:val="22"/>
              </w:rPr>
              <w:t>SME representatives were widely consulted during the preparatory process for this impact assessment.</w:t>
            </w:r>
            <w:r w:rsidR="00F110E3" w:rsidRPr="00BA474D">
              <w:rPr>
                <w:noProof/>
                <w:sz w:val="22"/>
                <w:szCs w:val="22"/>
              </w:rPr>
              <w:t xml:space="preserve"> </w:t>
            </w:r>
            <w:r w:rsidR="006B263F" w:rsidRPr="00BA474D">
              <w:rPr>
                <w:noProof/>
                <w:sz w:val="22"/>
                <w:szCs w:val="22"/>
              </w:rPr>
              <w:t xml:space="preserve">Among the 36% of replies to the </w:t>
            </w:r>
            <w:r w:rsidR="007C3DBC" w:rsidRPr="00BA474D">
              <w:rPr>
                <w:noProof/>
                <w:sz w:val="22"/>
                <w:szCs w:val="22"/>
              </w:rPr>
              <w:t xml:space="preserve">public </w:t>
            </w:r>
            <w:r w:rsidR="006B263F" w:rsidRPr="00BA474D">
              <w:rPr>
                <w:noProof/>
                <w:sz w:val="22"/>
                <w:szCs w:val="22"/>
              </w:rPr>
              <w:t xml:space="preserve">consultation </w:t>
            </w:r>
            <w:r w:rsidR="007C3DBC" w:rsidRPr="00BA474D">
              <w:rPr>
                <w:noProof/>
                <w:sz w:val="22"/>
                <w:szCs w:val="22"/>
              </w:rPr>
              <w:t>on the 28</w:t>
            </w:r>
            <w:r w:rsidR="007C3DBC" w:rsidRPr="00BA474D">
              <w:rPr>
                <w:noProof/>
                <w:sz w:val="22"/>
                <w:szCs w:val="22"/>
                <w:vertAlign w:val="superscript"/>
              </w:rPr>
              <w:t>th</w:t>
            </w:r>
            <w:r w:rsidR="007C3DBC" w:rsidRPr="00BA474D">
              <w:rPr>
                <w:noProof/>
                <w:sz w:val="22"/>
                <w:szCs w:val="22"/>
              </w:rPr>
              <w:t xml:space="preserve"> regime </w:t>
            </w:r>
            <w:r w:rsidR="006B263F" w:rsidRPr="00BA474D">
              <w:rPr>
                <w:noProof/>
                <w:sz w:val="22"/>
                <w:szCs w:val="22"/>
              </w:rPr>
              <w:t xml:space="preserve">which came from companies (534 replies), 96% were from SMEs. In addition, </w:t>
            </w:r>
            <w:r w:rsidR="00007D55" w:rsidRPr="00BA474D">
              <w:rPr>
                <w:noProof/>
                <w:sz w:val="22"/>
                <w:szCs w:val="22"/>
              </w:rPr>
              <w:t xml:space="preserve">47% of replies came from EU citizens (690) </w:t>
            </w:r>
            <w:r w:rsidR="00A665AC" w:rsidRPr="00BA474D">
              <w:rPr>
                <w:noProof/>
                <w:sz w:val="22"/>
                <w:szCs w:val="22"/>
              </w:rPr>
              <w:t xml:space="preserve">who were </w:t>
            </w:r>
            <w:r w:rsidR="003933C0" w:rsidRPr="00BA474D">
              <w:rPr>
                <w:noProof/>
                <w:sz w:val="22"/>
                <w:szCs w:val="22"/>
              </w:rPr>
              <w:t xml:space="preserve">in big part </w:t>
            </w:r>
            <w:r w:rsidR="00A665AC" w:rsidRPr="00BA474D">
              <w:rPr>
                <w:noProof/>
                <w:sz w:val="22"/>
                <w:szCs w:val="22"/>
              </w:rPr>
              <w:t>founders given that around 62% of them had set up a company</w:t>
            </w:r>
            <w:r w:rsidR="00141FE6" w:rsidRPr="00BA474D">
              <w:rPr>
                <w:noProof/>
                <w:sz w:val="22"/>
                <w:szCs w:val="22"/>
              </w:rPr>
              <w:t>.</w:t>
            </w:r>
            <w:r w:rsidR="002B41C7" w:rsidRPr="00BA474D">
              <w:rPr>
                <w:noProof/>
                <w:sz w:val="22"/>
                <w:szCs w:val="22"/>
              </w:rPr>
              <w:t xml:space="preserve"> </w:t>
            </w:r>
            <w:r w:rsidR="00DF2877" w:rsidRPr="00BA474D">
              <w:rPr>
                <w:noProof/>
                <w:sz w:val="22"/>
                <w:szCs w:val="22"/>
              </w:rPr>
              <w:t xml:space="preserve">Many participants at the </w:t>
            </w:r>
            <w:r w:rsidR="00F91E54" w:rsidRPr="00BA474D">
              <w:rPr>
                <w:noProof/>
                <w:sz w:val="22"/>
                <w:szCs w:val="22"/>
              </w:rPr>
              <w:t xml:space="preserve">2 online workshops </w:t>
            </w:r>
            <w:r w:rsidR="00DF2877" w:rsidRPr="00BA474D">
              <w:rPr>
                <w:bCs/>
                <w:noProof/>
                <w:sz w:val="22"/>
                <w:szCs w:val="22"/>
              </w:rPr>
              <w:t>on the 28</w:t>
            </w:r>
            <w:r w:rsidR="00DF2877" w:rsidRPr="00BA474D">
              <w:rPr>
                <w:noProof/>
                <w:sz w:val="22"/>
                <w:szCs w:val="22"/>
                <w:vertAlign w:val="superscript"/>
              </w:rPr>
              <w:t>th</w:t>
            </w:r>
            <w:r w:rsidR="00DF2877" w:rsidRPr="00BA474D">
              <w:rPr>
                <w:bCs/>
                <w:noProof/>
                <w:sz w:val="22"/>
                <w:szCs w:val="22"/>
              </w:rPr>
              <w:t xml:space="preserve"> regime were SMEs, in particular </w:t>
            </w:r>
            <w:r w:rsidR="007639E6">
              <w:rPr>
                <w:noProof/>
                <w:sz w:val="22"/>
                <w:szCs w:val="22"/>
              </w:rPr>
              <w:t xml:space="preserve">at </w:t>
            </w:r>
            <w:r w:rsidR="00895782" w:rsidRPr="00BA474D">
              <w:rPr>
                <w:bCs/>
                <w:noProof/>
                <w:sz w:val="22"/>
                <w:szCs w:val="22"/>
              </w:rPr>
              <w:t xml:space="preserve">the workshop which </w:t>
            </w:r>
            <w:r w:rsidR="00895782" w:rsidRPr="00BA474D">
              <w:rPr>
                <w:noProof/>
                <w:sz w:val="22"/>
                <w:szCs w:val="22"/>
              </w:rPr>
              <w:t>focused on discussing with founders/companies the corporate law related barriers they experienced when setting up, running or closing down a company in the EU.</w:t>
            </w:r>
            <w:r w:rsidR="00895782" w:rsidRPr="00BA474D">
              <w:rPr>
                <w:bCs/>
                <w:noProof/>
                <w:sz w:val="22"/>
                <w:szCs w:val="22"/>
              </w:rPr>
              <w:t xml:space="preserve"> </w:t>
            </w:r>
            <w:r w:rsidR="00F41FFD" w:rsidRPr="00BA474D">
              <w:rPr>
                <w:bCs/>
                <w:noProof/>
                <w:sz w:val="22"/>
                <w:szCs w:val="22"/>
              </w:rPr>
              <w:t xml:space="preserve">A number of more targeted </w:t>
            </w:r>
            <w:r w:rsidR="00F91E54" w:rsidRPr="00BA474D">
              <w:rPr>
                <w:noProof/>
                <w:sz w:val="22"/>
                <w:szCs w:val="22"/>
              </w:rPr>
              <w:t>bilateral meetings</w:t>
            </w:r>
            <w:r w:rsidR="00F41FFD" w:rsidRPr="00BA474D">
              <w:rPr>
                <w:bCs/>
                <w:noProof/>
                <w:sz w:val="22"/>
                <w:szCs w:val="22"/>
              </w:rPr>
              <w:t xml:space="preserve"> were also with </w:t>
            </w:r>
            <w:r w:rsidR="00383451" w:rsidRPr="00BA474D">
              <w:rPr>
                <w:noProof/>
                <w:sz w:val="22"/>
                <w:szCs w:val="22"/>
              </w:rPr>
              <w:t>SMEs</w:t>
            </w:r>
            <w:r w:rsidR="00F505C5" w:rsidRPr="00BA474D">
              <w:rPr>
                <w:noProof/>
                <w:sz w:val="22"/>
                <w:szCs w:val="22"/>
              </w:rPr>
              <w:t xml:space="preserve"> or startups</w:t>
            </w:r>
            <w:r w:rsidR="00F91E54" w:rsidRPr="00BA474D">
              <w:rPr>
                <w:noProof/>
                <w:sz w:val="22"/>
                <w:szCs w:val="22"/>
              </w:rPr>
              <w:t>.</w:t>
            </w:r>
            <w:r w:rsidR="00F505C5" w:rsidRPr="00BA474D">
              <w:rPr>
                <w:noProof/>
                <w:sz w:val="22"/>
                <w:szCs w:val="22"/>
              </w:rPr>
              <w:t xml:space="preserve"> </w:t>
            </w:r>
            <w:r w:rsidR="00391057" w:rsidRPr="00BA474D">
              <w:rPr>
                <w:noProof/>
                <w:sz w:val="22"/>
                <w:szCs w:val="22"/>
              </w:rPr>
              <w:t>Among others, several meetings took place with the representatives of the startup community behind the October 2024 petition for a “standardised pan-European EU Inc” and the EU Inc blueprint</w:t>
            </w:r>
            <w:r w:rsidR="00CE36C2" w:rsidRPr="00BA474D">
              <w:rPr>
                <w:noProof/>
                <w:sz w:val="22"/>
                <w:szCs w:val="22"/>
              </w:rPr>
              <w:t>.</w:t>
            </w:r>
          </w:p>
          <w:p w14:paraId="222AF02F" w14:textId="5626006A" w:rsidR="001A529D" w:rsidRPr="00BA474D" w:rsidRDefault="00082C30" w:rsidP="00B90327">
            <w:pPr>
              <w:spacing w:after="120"/>
              <w:rPr>
                <w:noProof/>
                <w:sz w:val="22"/>
                <w:szCs w:val="22"/>
              </w:rPr>
            </w:pPr>
            <w:r w:rsidRPr="00BA474D">
              <w:rPr>
                <w:noProof/>
                <w:sz w:val="22"/>
                <w:szCs w:val="22"/>
              </w:rPr>
              <w:t xml:space="preserve">European associations representing </w:t>
            </w:r>
            <w:r w:rsidR="00764BCA" w:rsidRPr="00BA474D">
              <w:rPr>
                <w:noProof/>
                <w:sz w:val="22"/>
                <w:szCs w:val="22"/>
              </w:rPr>
              <w:t xml:space="preserve">or closely related to </w:t>
            </w:r>
            <w:r w:rsidR="00450449" w:rsidRPr="00BA474D">
              <w:rPr>
                <w:noProof/>
                <w:sz w:val="22"/>
                <w:szCs w:val="22"/>
              </w:rPr>
              <w:t xml:space="preserve">SME </w:t>
            </w:r>
            <w:r w:rsidRPr="00BA474D">
              <w:rPr>
                <w:noProof/>
                <w:sz w:val="22"/>
                <w:szCs w:val="22"/>
              </w:rPr>
              <w:t>interests</w:t>
            </w:r>
            <w:r w:rsidR="00DC2D47" w:rsidRPr="00BA474D">
              <w:rPr>
                <w:noProof/>
                <w:sz w:val="22"/>
                <w:szCs w:val="22"/>
              </w:rPr>
              <w:t xml:space="preserve">, and in particular, SMEUnited, Digital SME Alliance as well as European Startup Network and European Tech Alliance, </w:t>
            </w:r>
            <w:r w:rsidR="003C732A" w:rsidRPr="00BA474D">
              <w:rPr>
                <w:noProof/>
                <w:sz w:val="22"/>
                <w:szCs w:val="22"/>
              </w:rPr>
              <w:t xml:space="preserve">were </w:t>
            </w:r>
            <w:r w:rsidR="00F505C5" w:rsidRPr="00BA474D">
              <w:rPr>
                <w:noProof/>
                <w:sz w:val="22"/>
                <w:szCs w:val="22"/>
              </w:rPr>
              <w:t xml:space="preserve">also </w:t>
            </w:r>
            <w:r w:rsidR="003C732A" w:rsidRPr="00BA474D">
              <w:rPr>
                <w:noProof/>
                <w:sz w:val="22"/>
                <w:szCs w:val="22"/>
              </w:rPr>
              <w:t xml:space="preserve">participants of the </w:t>
            </w:r>
            <w:r w:rsidR="003C732A" w:rsidRPr="007639E6">
              <w:rPr>
                <w:noProof/>
                <w:sz w:val="22"/>
                <w:szCs w:val="22"/>
              </w:rPr>
              <w:t>High-level Forum on Justice for Growth</w:t>
            </w:r>
            <w:r w:rsidR="003C732A" w:rsidRPr="00BA474D">
              <w:rPr>
                <w:noProof/>
                <w:sz w:val="22"/>
                <w:szCs w:val="22"/>
              </w:rPr>
              <w:t xml:space="preserve"> </w:t>
            </w:r>
            <w:r w:rsidR="00755958" w:rsidRPr="00BA474D">
              <w:rPr>
                <w:noProof/>
                <w:sz w:val="22"/>
                <w:szCs w:val="22"/>
              </w:rPr>
              <w:t xml:space="preserve">and took part in the </w:t>
            </w:r>
            <w:r w:rsidR="00273DE3" w:rsidRPr="00BA474D">
              <w:rPr>
                <w:noProof/>
                <w:sz w:val="22"/>
                <w:szCs w:val="22"/>
              </w:rPr>
              <w:t xml:space="preserve">discussions about the </w:t>
            </w:r>
            <w:r w:rsidR="005E39D0" w:rsidRPr="00BA474D">
              <w:rPr>
                <w:noProof/>
                <w:sz w:val="22"/>
                <w:szCs w:val="22"/>
              </w:rPr>
              <w:t>28</w:t>
            </w:r>
            <w:r w:rsidR="005E39D0" w:rsidRPr="00BA474D">
              <w:rPr>
                <w:noProof/>
                <w:sz w:val="22"/>
                <w:szCs w:val="22"/>
                <w:vertAlign w:val="superscript"/>
              </w:rPr>
              <w:t>th</w:t>
            </w:r>
            <w:r w:rsidR="005E39D0" w:rsidRPr="00BA474D">
              <w:rPr>
                <w:noProof/>
                <w:sz w:val="22"/>
                <w:szCs w:val="22"/>
              </w:rPr>
              <w:t xml:space="preserve"> regime corporate legal framework.</w:t>
            </w:r>
          </w:p>
        </w:tc>
      </w:tr>
      <w:tr w:rsidR="001A529D" w:rsidRPr="00AF61BA" w14:paraId="2998F3A5" w14:textId="77777777" w:rsidTr="00646A30">
        <w:tc>
          <w:tcPr>
            <w:tcW w:w="9214" w:type="dxa"/>
            <w:tcBorders>
              <w:bottom w:val="nil"/>
            </w:tcBorders>
          </w:tcPr>
          <w:p w14:paraId="7B05D3BD" w14:textId="743DF5DF" w:rsidR="001A529D" w:rsidRPr="00AF61BA" w:rsidRDefault="001A529D" w:rsidP="00B90327">
            <w:pPr>
              <w:pStyle w:val="ListParagraph"/>
              <w:spacing w:after="120"/>
              <w:ind w:left="0"/>
              <w:rPr>
                <w:noProof/>
                <w:color w:val="000000" w:themeColor="text1"/>
              </w:rPr>
            </w:pPr>
            <w:r w:rsidRPr="4E03C77D">
              <w:rPr>
                <w:b/>
                <w:bCs/>
                <w:noProof/>
                <w:color w:val="000000" w:themeColor="text1"/>
              </w:rPr>
              <w:t xml:space="preserve">Are SMEs’ views different from those of large businesses? </w:t>
            </w:r>
            <w:r w:rsidRPr="4E03C77D">
              <w:rPr>
                <w:i/>
                <w:iCs/>
                <w:noProof/>
                <w:color w:val="000000" w:themeColor="text1"/>
              </w:rPr>
              <w:t>(Yes/No)</w:t>
            </w:r>
          </w:p>
        </w:tc>
      </w:tr>
      <w:tr w:rsidR="001A529D" w:rsidRPr="00AF61BA" w14:paraId="6B778F77" w14:textId="77777777" w:rsidTr="00646A30">
        <w:tc>
          <w:tcPr>
            <w:tcW w:w="9214" w:type="dxa"/>
            <w:tcBorders>
              <w:top w:val="nil"/>
              <w:left w:val="single" w:sz="4" w:space="0" w:color="auto"/>
              <w:bottom w:val="single" w:sz="4" w:space="0" w:color="auto"/>
              <w:right w:val="single" w:sz="4" w:space="0" w:color="auto"/>
            </w:tcBorders>
          </w:tcPr>
          <w:p w14:paraId="28ABEA16" w14:textId="60E17055" w:rsidR="00B74B6E" w:rsidRPr="00BA474D" w:rsidRDefault="00E205FE" w:rsidP="00B90327">
            <w:pPr>
              <w:spacing w:after="120"/>
              <w:rPr>
                <w:noProof/>
                <w:sz w:val="22"/>
                <w:szCs w:val="22"/>
              </w:rPr>
            </w:pPr>
            <w:r w:rsidRPr="00BA474D">
              <w:rPr>
                <w:noProof/>
                <w:color w:val="000000" w:themeColor="text1"/>
                <w:sz w:val="22"/>
                <w:szCs w:val="22"/>
              </w:rPr>
              <w:t xml:space="preserve">Overall, all companies, including </w:t>
            </w:r>
            <w:r w:rsidR="2B716270" w:rsidRPr="00BA474D">
              <w:rPr>
                <w:noProof/>
                <w:color w:val="000000" w:themeColor="text1"/>
                <w:sz w:val="22"/>
                <w:szCs w:val="22"/>
              </w:rPr>
              <w:t>SMEs and large companies</w:t>
            </w:r>
            <w:r w:rsidRPr="00BA474D">
              <w:rPr>
                <w:noProof/>
                <w:color w:val="000000" w:themeColor="text1"/>
                <w:sz w:val="22"/>
                <w:szCs w:val="22"/>
              </w:rPr>
              <w:t>, were</w:t>
            </w:r>
            <w:r w:rsidR="2B716270" w:rsidRPr="00BA474D">
              <w:rPr>
                <w:noProof/>
                <w:color w:val="000000" w:themeColor="text1"/>
                <w:sz w:val="22"/>
                <w:szCs w:val="22"/>
              </w:rPr>
              <w:t xml:space="preserve"> supportive of the measu</w:t>
            </w:r>
            <w:r w:rsidR="22EC275B" w:rsidRPr="00BA474D">
              <w:rPr>
                <w:noProof/>
                <w:color w:val="000000" w:themeColor="text1"/>
                <w:sz w:val="22"/>
                <w:szCs w:val="22"/>
              </w:rPr>
              <w:t xml:space="preserve">res </w:t>
            </w:r>
            <w:r w:rsidR="00FF6ADD" w:rsidRPr="00BA474D">
              <w:rPr>
                <w:noProof/>
                <w:sz w:val="22"/>
                <w:szCs w:val="22"/>
              </w:rPr>
              <w:t xml:space="preserve">planned for </w:t>
            </w:r>
            <w:r w:rsidR="22EC275B" w:rsidRPr="00BA474D">
              <w:rPr>
                <w:noProof/>
                <w:sz w:val="22"/>
                <w:szCs w:val="22"/>
              </w:rPr>
              <w:t>the 28th regime</w:t>
            </w:r>
            <w:r w:rsidR="00FF6ADD" w:rsidRPr="00BA474D">
              <w:rPr>
                <w:noProof/>
                <w:sz w:val="22"/>
                <w:szCs w:val="22"/>
              </w:rPr>
              <w:t xml:space="preserve"> corporate legal framework during the consultation activities</w:t>
            </w:r>
            <w:r w:rsidR="002853C6" w:rsidRPr="00BA474D">
              <w:rPr>
                <w:noProof/>
                <w:sz w:val="22"/>
                <w:szCs w:val="22"/>
              </w:rPr>
              <w:t>.</w:t>
            </w:r>
            <w:r w:rsidR="00FF6ADD" w:rsidRPr="00BA474D">
              <w:rPr>
                <w:noProof/>
                <w:sz w:val="22"/>
                <w:szCs w:val="22"/>
              </w:rPr>
              <w:t xml:space="preserve"> </w:t>
            </w:r>
          </w:p>
          <w:p w14:paraId="0E17D2A9" w14:textId="0D5D3AB3" w:rsidR="00B74B6E" w:rsidRPr="00BA474D" w:rsidRDefault="00BC4E01" w:rsidP="004404AD">
            <w:pPr>
              <w:spacing w:after="120"/>
              <w:rPr>
                <w:noProof/>
                <w:sz w:val="22"/>
                <w:szCs w:val="22"/>
              </w:rPr>
            </w:pPr>
            <w:r w:rsidRPr="00BA474D">
              <w:rPr>
                <w:noProof/>
                <w:sz w:val="22"/>
                <w:szCs w:val="22"/>
              </w:rPr>
              <w:t xml:space="preserve">At the same time, the call for the 28th regime was strongest among the startup </w:t>
            </w:r>
            <w:r w:rsidR="006921F4" w:rsidRPr="00BA474D">
              <w:rPr>
                <w:noProof/>
                <w:sz w:val="22"/>
                <w:szCs w:val="22"/>
              </w:rPr>
              <w:t>–</w:t>
            </w:r>
            <w:r w:rsidR="00317FDD" w:rsidRPr="00BA474D">
              <w:rPr>
                <w:noProof/>
                <w:sz w:val="22"/>
                <w:szCs w:val="22"/>
              </w:rPr>
              <w:t xml:space="preserve"> </w:t>
            </w:r>
            <w:r w:rsidRPr="00BA474D">
              <w:rPr>
                <w:noProof/>
                <w:sz w:val="22"/>
                <w:szCs w:val="22"/>
              </w:rPr>
              <w:t>and therefore SME</w:t>
            </w:r>
            <w:r w:rsidRPr="00BA474D">
              <w:rPr>
                <w:noProof/>
                <w:color w:val="000000" w:themeColor="text1"/>
                <w:sz w:val="22"/>
                <w:szCs w:val="22"/>
              </w:rPr>
              <w:t xml:space="preserve"> </w:t>
            </w:r>
            <w:r w:rsidR="006921F4" w:rsidRPr="00BA474D">
              <w:rPr>
                <w:noProof/>
                <w:color w:val="000000" w:themeColor="text1"/>
                <w:sz w:val="22"/>
                <w:szCs w:val="22"/>
              </w:rPr>
              <w:t>–</w:t>
            </w:r>
            <w:r w:rsidR="00317FDD" w:rsidRPr="00BA474D">
              <w:rPr>
                <w:noProof/>
                <w:color w:val="000000" w:themeColor="text1"/>
                <w:sz w:val="22"/>
                <w:szCs w:val="22"/>
              </w:rPr>
              <w:t xml:space="preserve"> </w:t>
            </w:r>
            <w:r w:rsidRPr="00BA474D">
              <w:rPr>
                <w:noProof/>
                <w:color w:val="000000" w:themeColor="text1"/>
                <w:sz w:val="22"/>
                <w:szCs w:val="22"/>
              </w:rPr>
              <w:t>community</w:t>
            </w:r>
            <w:r w:rsidR="00BA5815" w:rsidRPr="00BA474D">
              <w:rPr>
                <w:noProof/>
                <w:color w:val="000000" w:themeColor="text1"/>
                <w:sz w:val="22"/>
                <w:szCs w:val="22"/>
              </w:rPr>
              <w:t xml:space="preserve"> as shown by over 15 000 signatures to the </w:t>
            </w:r>
            <w:r w:rsidR="00BA5815" w:rsidRPr="00BA474D">
              <w:rPr>
                <w:noProof/>
                <w:sz w:val="22"/>
                <w:szCs w:val="22"/>
              </w:rPr>
              <w:t xml:space="preserve">petition for a “standardised pan-European EU Inc”. </w:t>
            </w:r>
            <w:r w:rsidR="001D642B" w:rsidRPr="00BA474D">
              <w:rPr>
                <w:noProof/>
                <w:sz w:val="22"/>
                <w:szCs w:val="22"/>
              </w:rPr>
              <w:t>There was</w:t>
            </w:r>
            <w:r w:rsidR="00F05B27" w:rsidRPr="00BA474D">
              <w:rPr>
                <w:noProof/>
                <w:sz w:val="22"/>
                <w:szCs w:val="22"/>
              </w:rPr>
              <w:t xml:space="preserve"> also a</w:t>
            </w:r>
            <w:r w:rsidR="001D642B" w:rsidRPr="00BA474D">
              <w:rPr>
                <w:noProof/>
                <w:sz w:val="22"/>
                <w:szCs w:val="22"/>
              </w:rPr>
              <w:t xml:space="preserve"> very strong interest among the startup and SME community in facilitating the setting up of companies in the EU, </w:t>
            </w:r>
            <w:r w:rsidR="002A69E3" w:rsidRPr="00BA474D">
              <w:rPr>
                <w:noProof/>
                <w:sz w:val="22"/>
                <w:szCs w:val="22"/>
              </w:rPr>
              <w:t>with calls stressing</w:t>
            </w:r>
            <w:r w:rsidR="00ED49E3" w:rsidRPr="00BA474D">
              <w:rPr>
                <w:noProof/>
                <w:sz w:val="22"/>
                <w:szCs w:val="22"/>
              </w:rPr>
              <w:t xml:space="preserve"> that </w:t>
            </w:r>
            <w:r w:rsidR="002A69E3" w:rsidRPr="00BA474D">
              <w:rPr>
                <w:noProof/>
                <w:sz w:val="22"/>
                <w:szCs w:val="22"/>
              </w:rPr>
              <w:t xml:space="preserve">the </w:t>
            </w:r>
            <w:r w:rsidR="00ED49E3" w:rsidRPr="00BA474D">
              <w:rPr>
                <w:noProof/>
                <w:sz w:val="22"/>
                <w:szCs w:val="22"/>
              </w:rPr>
              <w:t>current procedures are not sufficiently digital, easy and quick</w:t>
            </w:r>
            <w:r w:rsidR="002A69E3" w:rsidRPr="00BA474D">
              <w:rPr>
                <w:noProof/>
                <w:sz w:val="22"/>
                <w:szCs w:val="22"/>
              </w:rPr>
              <w:t xml:space="preserve">. </w:t>
            </w:r>
            <w:r w:rsidR="001F7F59" w:rsidRPr="00BA474D">
              <w:rPr>
                <w:noProof/>
                <w:sz w:val="22"/>
                <w:szCs w:val="22"/>
              </w:rPr>
              <w:t xml:space="preserve">Similarly, simpler </w:t>
            </w:r>
            <w:r w:rsidR="00ED49E3" w:rsidRPr="00BA474D">
              <w:rPr>
                <w:noProof/>
                <w:sz w:val="22"/>
                <w:szCs w:val="22"/>
              </w:rPr>
              <w:t xml:space="preserve">and </w:t>
            </w:r>
            <w:r w:rsidR="001F7F59" w:rsidRPr="00BA474D">
              <w:rPr>
                <w:noProof/>
                <w:sz w:val="22"/>
                <w:szCs w:val="22"/>
              </w:rPr>
              <w:t xml:space="preserve">more digital ways of attracting investment were called for to help startups develop and scale up. </w:t>
            </w:r>
            <w:r w:rsidR="00021ADD" w:rsidRPr="00BA474D">
              <w:rPr>
                <w:noProof/>
                <w:sz w:val="22"/>
                <w:szCs w:val="22"/>
              </w:rPr>
              <w:t>There</w:t>
            </w:r>
            <w:r w:rsidR="00ED49E3" w:rsidRPr="00BA474D">
              <w:rPr>
                <w:noProof/>
                <w:sz w:val="22"/>
                <w:szCs w:val="22"/>
              </w:rPr>
              <w:t xml:space="preserve"> </w:t>
            </w:r>
            <w:r w:rsidR="004578D3" w:rsidRPr="00BA474D">
              <w:rPr>
                <w:noProof/>
                <w:sz w:val="22"/>
                <w:szCs w:val="22"/>
              </w:rPr>
              <w:t xml:space="preserve">was also </w:t>
            </w:r>
            <w:r w:rsidR="00021ADD" w:rsidRPr="00BA474D">
              <w:rPr>
                <w:noProof/>
                <w:sz w:val="22"/>
                <w:szCs w:val="22"/>
              </w:rPr>
              <w:t>strong agreement across stakeholders</w:t>
            </w:r>
            <w:r w:rsidR="00ED49E3" w:rsidRPr="00BA474D">
              <w:rPr>
                <w:noProof/>
                <w:sz w:val="22"/>
                <w:szCs w:val="22"/>
              </w:rPr>
              <w:t xml:space="preserve"> in </w:t>
            </w:r>
            <w:r w:rsidR="00021ADD" w:rsidRPr="00BA474D">
              <w:rPr>
                <w:noProof/>
                <w:sz w:val="22"/>
                <w:szCs w:val="22"/>
              </w:rPr>
              <w:t>consultation activities</w:t>
            </w:r>
            <w:r w:rsidR="00125B62" w:rsidRPr="00BA474D">
              <w:rPr>
                <w:noProof/>
                <w:sz w:val="22"/>
                <w:szCs w:val="22"/>
              </w:rPr>
              <w:t xml:space="preserve"> that </w:t>
            </w:r>
            <w:r w:rsidR="00125B62" w:rsidRPr="00BA474D">
              <w:rPr>
                <w:noProof/>
                <w:color w:val="000000" w:themeColor="text1"/>
                <w:sz w:val="22"/>
                <w:szCs w:val="22"/>
              </w:rPr>
              <w:t xml:space="preserve">employee stock options </w:t>
            </w:r>
            <w:r w:rsidR="00021ADD" w:rsidRPr="00BA474D">
              <w:rPr>
                <w:noProof/>
                <w:color w:val="000000" w:themeColor="text1"/>
                <w:sz w:val="22"/>
                <w:szCs w:val="22"/>
              </w:rPr>
              <w:t>are</w:t>
            </w:r>
            <w:r w:rsidR="00125B62" w:rsidRPr="00BA474D">
              <w:rPr>
                <w:noProof/>
                <w:color w:val="000000" w:themeColor="text1"/>
                <w:sz w:val="22"/>
                <w:szCs w:val="22"/>
              </w:rPr>
              <w:t xml:space="preserve"> in particular important for startup, scaleup and innovative companies to </w:t>
            </w:r>
            <w:r w:rsidR="00125B62" w:rsidRPr="00BA474D">
              <w:rPr>
                <w:noProof/>
                <w:sz w:val="22"/>
                <w:szCs w:val="22"/>
              </w:rPr>
              <w:t>attract and retain top talent, as they often lack the cash resources to offer competitive salaries</w:t>
            </w:r>
            <w:r w:rsidR="00021ADD" w:rsidRPr="00BA474D">
              <w:rPr>
                <w:noProof/>
                <w:sz w:val="22"/>
                <w:szCs w:val="22"/>
              </w:rPr>
              <w:t>.</w:t>
            </w:r>
          </w:p>
          <w:p w14:paraId="6BC7CFB0" w14:textId="25980444" w:rsidR="001A529D" w:rsidRPr="007639E6" w:rsidRDefault="006A2D44" w:rsidP="007639E6">
            <w:pPr>
              <w:pStyle w:val="ListParagraph"/>
              <w:spacing w:after="120"/>
              <w:ind w:left="0"/>
              <w:rPr>
                <w:noProof/>
                <w:color w:val="000000" w:themeColor="text1"/>
                <w:sz w:val="22"/>
                <w:szCs w:val="22"/>
              </w:rPr>
            </w:pPr>
            <w:r w:rsidRPr="00BA474D">
              <w:rPr>
                <w:noProof/>
                <w:sz w:val="22"/>
                <w:szCs w:val="22"/>
              </w:rPr>
              <w:t>R</w:t>
            </w:r>
            <w:r w:rsidR="008F3C1D" w:rsidRPr="00BA474D">
              <w:rPr>
                <w:noProof/>
                <w:sz w:val="22"/>
                <w:szCs w:val="22"/>
              </w:rPr>
              <w:t>esponses from l</w:t>
            </w:r>
            <w:r w:rsidR="009C1B3C" w:rsidRPr="00BA474D">
              <w:rPr>
                <w:noProof/>
                <w:sz w:val="22"/>
                <w:szCs w:val="22"/>
              </w:rPr>
              <w:t>arge businesses</w:t>
            </w:r>
            <w:r w:rsidR="00A76164" w:rsidRPr="00BA474D">
              <w:rPr>
                <w:noProof/>
                <w:sz w:val="22"/>
                <w:szCs w:val="22"/>
              </w:rPr>
              <w:t xml:space="preserve"> </w:t>
            </w:r>
            <w:r w:rsidR="00745F04" w:rsidRPr="00BA474D">
              <w:rPr>
                <w:noProof/>
                <w:sz w:val="22"/>
                <w:szCs w:val="22"/>
              </w:rPr>
              <w:t xml:space="preserve">supported these </w:t>
            </w:r>
            <w:r w:rsidR="00011ADB" w:rsidRPr="00BA474D">
              <w:rPr>
                <w:noProof/>
                <w:sz w:val="22"/>
                <w:szCs w:val="22"/>
              </w:rPr>
              <w:t>positions</w:t>
            </w:r>
            <w:r w:rsidR="000F1B5E" w:rsidRPr="00BA474D">
              <w:rPr>
                <w:noProof/>
                <w:sz w:val="22"/>
                <w:szCs w:val="22"/>
              </w:rPr>
              <w:t xml:space="preserve"> but placed greater emphasis</w:t>
            </w:r>
            <w:r w:rsidR="00011ADB" w:rsidRPr="00BA474D">
              <w:rPr>
                <w:noProof/>
                <w:sz w:val="22"/>
                <w:szCs w:val="22"/>
              </w:rPr>
              <w:t xml:space="preserve"> </w:t>
            </w:r>
            <w:r w:rsidR="00C56262" w:rsidRPr="00BA474D">
              <w:rPr>
                <w:noProof/>
                <w:sz w:val="22"/>
                <w:szCs w:val="22"/>
              </w:rPr>
              <w:t xml:space="preserve">on making </w:t>
            </w:r>
            <w:r w:rsidR="001B57EC" w:rsidRPr="00BA474D">
              <w:rPr>
                <w:noProof/>
                <w:sz w:val="22"/>
                <w:szCs w:val="22"/>
              </w:rPr>
              <w:t xml:space="preserve">the 28th regime </w:t>
            </w:r>
            <w:r w:rsidR="00A76164" w:rsidRPr="00BA474D">
              <w:rPr>
                <w:noProof/>
                <w:sz w:val="22"/>
                <w:szCs w:val="22"/>
              </w:rPr>
              <w:t xml:space="preserve">framework </w:t>
            </w:r>
            <w:r w:rsidR="001B57EC" w:rsidRPr="00BA474D">
              <w:rPr>
                <w:noProof/>
                <w:sz w:val="22"/>
                <w:szCs w:val="22"/>
              </w:rPr>
              <w:t>available</w:t>
            </w:r>
            <w:r w:rsidR="001B57EC" w:rsidRPr="00BA474D">
              <w:rPr>
                <w:noProof/>
                <w:color w:val="000000" w:themeColor="text1"/>
                <w:sz w:val="22"/>
                <w:szCs w:val="22"/>
              </w:rPr>
              <w:t xml:space="preserve"> to all types of companies and </w:t>
            </w:r>
            <w:r w:rsidR="006E1C8B" w:rsidRPr="00BA474D">
              <w:rPr>
                <w:noProof/>
                <w:color w:val="000000" w:themeColor="text1"/>
                <w:sz w:val="22"/>
                <w:szCs w:val="22"/>
              </w:rPr>
              <w:t>cover</w:t>
            </w:r>
            <w:r w:rsidR="00C56262" w:rsidRPr="00BA474D">
              <w:rPr>
                <w:noProof/>
                <w:color w:val="000000" w:themeColor="text1"/>
                <w:sz w:val="22"/>
                <w:szCs w:val="22"/>
              </w:rPr>
              <w:t>ing</w:t>
            </w:r>
            <w:r w:rsidR="001B57EC" w:rsidRPr="00BA474D">
              <w:rPr>
                <w:noProof/>
                <w:color w:val="000000" w:themeColor="text1"/>
                <w:sz w:val="22"/>
                <w:szCs w:val="22"/>
              </w:rPr>
              <w:t xml:space="preserve"> the whole lifecycle of a company, including scaling up and the decision to go public</w:t>
            </w:r>
            <w:r w:rsidR="007813FC" w:rsidRPr="00BA474D">
              <w:rPr>
                <w:noProof/>
                <w:color w:val="000000" w:themeColor="text1"/>
                <w:sz w:val="22"/>
                <w:szCs w:val="22"/>
              </w:rPr>
              <w:t>.</w:t>
            </w:r>
            <w:r w:rsidR="00B4399C" w:rsidRPr="00BA474D">
              <w:rPr>
                <w:noProof/>
                <w:color w:val="000000" w:themeColor="text1"/>
                <w:sz w:val="22"/>
                <w:szCs w:val="22"/>
              </w:rPr>
              <w:t xml:space="preserve"> </w:t>
            </w:r>
            <w:r w:rsidR="009746EF" w:rsidRPr="00BA474D">
              <w:rPr>
                <w:noProof/>
                <w:color w:val="000000" w:themeColor="text1"/>
                <w:sz w:val="22"/>
                <w:szCs w:val="22"/>
              </w:rPr>
              <w:t>For instance, s</w:t>
            </w:r>
            <w:r w:rsidR="00B4399C" w:rsidRPr="00BA474D">
              <w:rPr>
                <w:noProof/>
                <w:color w:val="000000" w:themeColor="text1"/>
                <w:sz w:val="22"/>
                <w:szCs w:val="22"/>
              </w:rPr>
              <w:t xml:space="preserve">ome associations representing </w:t>
            </w:r>
            <w:r w:rsidR="009746EF" w:rsidRPr="00BA474D">
              <w:rPr>
                <w:noProof/>
                <w:color w:val="000000" w:themeColor="text1"/>
                <w:sz w:val="22"/>
                <w:szCs w:val="22"/>
              </w:rPr>
              <w:t xml:space="preserve">large businesses were </w:t>
            </w:r>
            <w:r w:rsidR="000E0D7C" w:rsidRPr="00BA474D">
              <w:rPr>
                <w:noProof/>
                <w:color w:val="000000" w:themeColor="text1"/>
                <w:sz w:val="22"/>
                <w:szCs w:val="22"/>
              </w:rPr>
              <w:t xml:space="preserve">strongly </w:t>
            </w:r>
            <w:r w:rsidR="009746EF" w:rsidRPr="00BA474D">
              <w:rPr>
                <w:noProof/>
                <w:color w:val="000000" w:themeColor="text1"/>
                <w:sz w:val="22"/>
                <w:szCs w:val="22"/>
              </w:rPr>
              <w:t xml:space="preserve">in favour </w:t>
            </w:r>
            <w:r w:rsidR="00C56262" w:rsidRPr="00BA474D">
              <w:rPr>
                <w:noProof/>
                <w:color w:val="000000" w:themeColor="text1"/>
                <w:sz w:val="22"/>
                <w:szCs w:val="22"/>
              </w:rPr>
              <w:t>of</w:t>
            </w:r>
            <w:r w:rsidR="009746EF" w:rsidRPr="00BA474D">
              <w:rPr>
                <w:noProof/>
                <w:color w:val="000000" w:themeColor="text1"/>
                <w:sz w:val="22"/>
                <w:szCs w:val="22"/>
              </w:rPr>
              <w:t xml:space="preserve"> </w:t>
            </w:r>
            <w:r w:rsidR="001852FF" w:rsidRPr="00BA474D">
              <w:rPr>
                <w:noProof/>
                <w:color w:val="000000" w:themeColor="text1"/>
                <w:sz w:val="22"/>
                <w:szCs w:val="22"/>
              </w:rPr>
              <w:t>allowing for the possibility to list on regulated markets under the 28</w:t>
            </w:r>
            <w:r w:rsidR="001852FF" w:rsidRPr="00BA474D">
              <w:rPr>
                <w:noProof/>
                <w:color w:val="000000" w:themeColor="text1"/>
                <w:sz w:val="22"/>
                <w:szCs w:val="22"/>
                <w:vertAlign w:val="superscript"/>
              </w:rPr>
              <w:t>th</w:t>
            </w:r>
            <w:r w:rsidR="001852FF" w:rsidRPr="00BA474D">
              <w:rPr>
                <w:noProof/>
                <w:color w:val="000000" w:themeColor="text1"/>
                <w:sz w:val="22"/>
                <w:szCs w:val="22"/>
              </w:rPr>
              <w:t xml:space="preserve"> regime corporate framework.</w:t>
            </w:r>
          </w:p>
        </w:tc>
      </w:tr>
    </w:tbl>
    <w:p w14:paraId="64C7C43C" w14:textId="77777777" w:rsidR="001A529D" w:rsidRPr="00AF61BA" w:rsidRDefault="001A529D" w:rsidP="001A529D">
      <w:pPr>
        <w:spacing w:after="0"/>
        <w:rPr>
          <w:rFonts w:cstheme="minorHAnsi"/>
          <w:b/>
          <w:noProof/>
          <w:color w:val="000000" w:themeColor="text1"/>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4"/>
      </w:tblGrid>
      <w:tr w:rsidR="001A529D" w:rsidRPr="00AF61BA" w14:paraId="0C179506" w14:textId="77777777" w:rsidTr="00C04C32">
        <w:trPr>
          <w:trHeight w:val="300"/>
        </w:trPr>
        <w:tc>
          <w:tcPr>
            <w:tcW w:w="8834" w:type="dxa"/>
          </w:tcPr>
          <w:p w14:paraId="5EC02350" w14:textId="77777777" w:rsidR="001A529D" w:rsidRPr="00AF61BA" w:rsidRDefault="001A529D" w:rsidP="00B87DBD">
            <w:pPr>
              <w:pStyle w:val="ListParagraph"/>
              <w:numPr>
                <w:ilvl w:val="0"/>
                <w:numId w:val="7"/>
              </w:numPr>
              <w:spacing w:after="0"/>
              <w:jc w:val="left"/>
              <w:rPr>
                <w:b/>
                <w:bCs/>
                <w:smallCaps/>
                <w:noProof/>
                <w:color w:val="000000" w:themeColor="text1"/>
              </w:rPr>
            </w:pPr>
            <w:r w:rsidRPr="4E03C77D">
              <w:rPr>
                <w:b/>
                <w:bCs/>
                <w:smallCaps/>
                <w:noProof/>
                <w:color w:val="000000" w:themeColor="text1"/>
              </w:rPr>
              <w:t>Assessment of impacts on SMEs</w:t>
            </w:r>
            <w:r w:rsidRPr="4E03C77D">
              <w:rPr>
                <w:rStyle w:val="FootnoteReference"/>
                <w:b/>
                <w:bCs/>
                <w:smallCaps/>
                <w:noProof/>
                <w:color w:val="000000" w:themeColor="text1"/>
              </w:rPr>
              <w:footnoteReference w:id="9"/>
            </w:r>
          </w:p>
        </w:tc>
      </w:tr>
      <w:tr w:rsidR="001A529D" w:rsidRPr="00AF61BA" w14:paraId="0690CDDD" w14:textId="77777777" w:rsidTr="00C04C32">
        <w:trPr>
          <w:trHeight w:val="300"/>
        </w:trPr>
        <w:tc>
          <w:tcPr>
            <w:tcW w:w="8834" w:type="dxa"/>
          </w:tcPr>
          <w:p w14:paraId="7FBCBC4D" w14:textId="77777777" w:rsidR="001A529D" w:rsidRPr="0077460C" w:rsidRDefault="001A529D">
            <w:pPr>
              <w:rPr>
                <w:noProof/>
                <w:color w:val="000000" w:themeColor="text1"/>
              </w:rPr>
            </w:pPr>
            <w:r w:rsidRPr="4E03C77D">
              <w:rPr>
                <w:b/>
                <w:bCs/>
                <w:noProof/>
                <w:color w:val="000000" w:themeColor="text1"/>
              </w:rPr>
              <w:t>What are the estimated direct costs for SMEs of the preferred policy option</w:t>
            </w:r>
            <w:r w:rsidRPr="4E03C77D">
              <w:rPr>
                <w:b/>
                <w:bCs/>
                <w:i/>
                <w:iCs/>
                <w:noProof/>
                <w:color w:val="000000" w:themeColor="text1"/>
              </w:rPr>
              <w:t>?</w:t>
            </w:r>
            <w:r w:rsidRPr="4E03C77D">
              <w:rPr>
                <w:noProof/>
                <w:color w:val="000000" w:themeColor="text1"/>
              </w:rPr>
              <w:t xml:space="preserve"> </w:t>
            </w:r>
            <w:r w:rsidRPr="4E03C77D">
              <w:rPr>
                <w:noProof/>
                <w:color w:val="000000" w:themeColor="text1"/>
                <w:u w:val="single"/>
              </w:rPr>
              <w:t>(Fill in only if step 1</w:t>
            </w:r>
            <w:r w:rsidRPr="4E03C77D">
              <w:rPr>
                <w:noProof/>
                <w:color w:val="000000" w:themeColor="text1"/>
              </w:rPr>
              <w:t xml:space="preserve"> </w:t>
            </w:r>
            <w:r w:rsidRPr="4E03C77D">
              <w:rPr>
                <w:i/>
                <w:iCs/>
                <w:noProof/>
                <w:color w:val="000000" w:themeColor="text1"/>
              </w:rPr>
              <w:t>flags direct impacts)</w:t>
            </w:r>
          </w:p>
        </w:tc>
      </w:tr>
      <w:tr w:rsidR="001A529D" w:rsidRPr="00AF61BA" w14:paraId="47B70558" w14:textId="77777777" w:rsidTr="00C04C32">
        <w:trPr>
          <w:trHeight w:val="300"/>
        </w:trPr>
        <w:tc>
          <w:tcPr>
            <w:tcW w:w="8834" w:type="dxa"/>
          </w:tcPr>
          <w:p w14:paraId="7C363C5F" w14:textId="77777777" w:rsidR="001A529D" w:rsidRPr="00AF61BA" w:rsidRDefault="001A529D">
            <w:pPr>
              <w:rPr>
                <w:i/>
                <w:iCs/>
                <w:noProof/>
                <w:color w:val="000000" w:themeColor="text1"/>
              </w:rPr>
            </w:pPr>
            <w:bookmarkStart w:id="32" w:name="_Hlk189835363"/>
            <w:r w:rsidRPr="4E03C77D">
              <w:rPr>
                <w:b/>
                <w:bCs/>
                <w:i/>
                <w:iCs/>
                <w:noProof/>
                <w:color w:val="000000" w:themeColor="text1"/>
              </w:rPr>
              <w:t>Qualitative assessment</w:t>
            </w:r>
          </w:p>
        </w:tc>
      </w:tr>
      <w:bookmarkEnd w:id="32"/>
      <w:tr w:rsidR="00C04C32" w:rsidRPr="00AF61BA" w14:paraId="7727A237" w14:textId="77777777" w:rsidTr="00C04C32">
        <w:trPr>
          <w:trHeight w:val="300"/>
        </w:trPr>
        <w:tc>
          <w:tcPr>
            <w:tcW w:w="8834" w:type="dxa"/>
            <w:vAlign w:val="center"/>
          </w:tcPr>
          <w:p w14:paraId="5354CC1F" w14:textId="5BC7200C" w:rsidR="00C04C32" w:rsidRPr="00C04C32" w:rsidRDefault="00C04C32" w:rsidP="00C04C32">
            <w:pPr>
              <w:spacing w:after="0"/>
              <w:rPr>
                <w:iCs/>
                <w:noProof/>
                <w:color w:val="000000" w:themeColor="text1"/>
              </w:rPr>
            </w:pPr>
            <w:r w:rsidRPr="00C04C32">
              <w:rPr>
                <w:noProof/>
              </w:rPr>
              <w:t xml:space="preserve">One-off familiarisation costs for those existing </w:t>
            </w:r>
            <w:r>
              <w:rPr>
                <w:noProof/>
              </w:rPr>
              <w:t xml:space="preserve">SMEs </w:t>
            </w:r>
            <w:r w:rsidRPr="00C04C32">
              <w:rPr>
                <w:noProof/>
              </w:rPr>
              <w:t>that choose to become 28</w:t>
            </w:r>
            <w:r w:rsidRPr="00C04C32">
              <w:rPr>
                <w:noProof/>
                <w:vertAlign w:val="superscript"/>
              </w:rPr>
              <w:t>th</w:t>
            </w:r>
            <w:r w:rsidRPr="00C04C32">
              <w:rPr>
                <w:noProof/>
              </w:rPr>
              <w:t xml:space="preserve"> companies</w:t>
            </w:r>
            <w:r w:rsidRPr="00C04C32" w:rsidDel="00DF26D8">
              <w:rPr>
                <w:noProof/>
              </w:rPr>
              <w:t xml:space="preserve"> </w:t>
            </w:r>
            <w:r w:rsidRPr="00C04C32">
              <w:rPr>
                <w:noProof/>
              </w:rPr>
              <w:t>through domestic conversions, or through cross-border mergers, divisions or conversions, including legal and organisational changes. The 28</w:t>
            </w:r>
            <w:r w:rsidRPr="00C04C32">
              <w:rPr>
                <w:noProof/>
                <w:vertAlign w:val="superscript"/>
              </w:rPr>
              <w:t>th</w:t>
            </w:r>
            <w:r w:rsidRPr="00C04C32">
              <w:rPr>
                <w:noProof/>
              </w:rPr>
              <w:t xml:space="preserve"> regime is optional/ voluntary and depend on the choice of the company to opt into that regime. Quantification is not feasible due to heterogeneity across firms.</w:t>
            </w:r>
          </w:p>
        </w:tc>
      </w:tr>
      <w:tr w:rsidR="00C04C32" w:rsidRPr="00AF61BA" w14:paraId="47F6D1FA" w14:textId="77777777" w:rsidTr="00C04C32">
        <w:trPr>
          <w:trHeight w:val="300"/>
        </w:trPr>
        <w:tc>
          <w:tcPr>
            <w:tcW w:w="8834" w:type="dxa"/>
          </w:tcPr>
          <w:p w14:paraId="468719D5" w14:textId="77777777" w:rsidR="00C04C32" w:rsidRPr="00AF61BA" w:rsidRDefault="00C04C32" w:rsidP="00C04C32">
            <w:pPr>
              <w:rPr>
                <w:b/>
                <w:bCs/>
                <w:noProof/>
                <w:color w:val="000000" w:themeColor="text1"/>
              </w:rPr>
            </w:pPr>
            <w:r w:rsidRPr="4E03C77D">
              <w:rPr>
                <w:b/>
                <w:bCs/>
                <w:noProof/>
                <w:color w:val="000000" w:themeColor="text1"/>
              </w:rPr>
              <w:t>Quantitative assessment</w:t>
            </w:r>
          </w:p>
        </w:tc>
      </w:tr>
      <w:tr w:rsidR="00C04C32" w:rsidRPr="00AF61BA" w14:paraId="1B47BADF" w14:textId="77777777" w:rsidTr="00C04C32">
        <w:trPr>
          <w:trHeight w:val="300"/>
        </w:trPr>
        <w:tc>
          <w:tcPr>
            <w:tcW w:w="8834" w:type="dxa"/>
          </w:tcPr>
          <w:p w14:paraId="62E2363D" w14:textId="6DEDB078" w:rsidR="00C04C32" w:rsidRPr="00C35B64" w:rsidRDefault="00C04C32" w:rsidP="00C04C32">
            <w:pPr>
              <w:rPr>
                <w:iCs/>
                <w:noProof/>
                <w:color w:val="000000" w:themeColor="text1"/>
              </w:rPr>
            </w:pPr>
            <w:r w:rsidRPr="00C35B64">
              <w:rPr>
                <w:iCs/>
                <w:noProof/>
                <w:color w:val="000000" w:themeColor="text1"/>
              </w:rPr>
              <w:t>Limited</w:t>
            </w:r>
            <w:r>
              <w:rPr>
                <w:iCs/>
                <w:noProof/>
                <w:color w:val="000000" w:themeColor="text1"/>
              </w:rPr>
              <w:t>. N</w:t>
            </w:r>
            <w:r w:rsidRPr="00C35B64">
              <w:rPr>
                <w:iCs/>
                <w:noProof/>
                <w:color w:val="000000" w:themeColor="text1"/>
              </w:rPr>
              <w:t>o new costs for SMEs.</w:t>
            </w:r>
          </w:p>
        </w:tc>
      </w:tr>
      <w:tr w:rsidR="00C04C32" w:rsidRPr="00AF61BA" w14:paraId="7C8C73D3" w14:textId="77777777" w:rsidTr="00C04C32">
        <w:trPr>
          <w:trHeight w:val="300"/>
        </w:trPr>
        <w:tc>
          <w:tcPr>
            <w:tcW w:w="8834" w:type="dxa"/>
          </w:tcPr>
          <w:p w14:paraId="29D8C864" w14:textId="77777777" w:rsidR="00C04C32" w:rsidRPr="00AF61BA" w:rsidRDefault="00C04C32" w:rsidP="00C04C32">
            <w:pPr>
              <w:rPr>
                <w:b/>
                <w:bCs/>
                <w:noProof/>
                <w:color w:val="000000" w:themeColor="text1"/>
              </w:rPr>
            </w:pPr>
            <w:r w:rsidRPr="52ADF795">
              <w:rPr>
                <w:b/>
                <w:bCs/>
                <w:noProof/>
                <w:color w:val="000000" w:themeColor="text1"/>
              </w:rPr>
              <w:t>What are the estimated direct benefits/cost savings for SMEs of the preferred policy option</w:t>
            </w:r>
            <w:r w:rsidRPr="52ADF795">
              <w:rPr>
                <w:rStyle w:val="FootnoteReference"/>
                <w:b/>
                <w:bCs/>
                <w:noProof/>
                <w:color w:val="000000" w:themeColor="text1"/>
              </w:rPr>
              <w:footnoteReference w:id="10"/>
            </w:r>
            <w:r w:rsidRPr="52ADF795">
              <w:rPr>
                <w:b/>
                <w:bCs/>
                <w:noProof/>
                <w:color w:val="000000" w:themeColor="text1"/>
              </w:rPr>
              <w:t>?</w:t>
            </w:r>
          </w:p>
        </w:tc>
      </w:tr>
      <w:tr w:rsidR="00C04C32" w:rsidRPr="00AF61BA" w14:paraId="606946B9" w14:textId="77777777" w:rsidTr="00C04C32">
        <w:trPr>
          <w:trHeight w:val="300"/>
        </w:trPr>
        <w:tc>
          <w:tcPr>
            <w:tcW w:w="8834" w:type="dxa"/>
          </w:tcPr>
          <w:p w14:paraId="33445B24" w14:textId="77777777" w:rsidR="00C04C32" w:rsidRPr="00AF61BA" w:rsidRDefault="00C04C32" w:rsidP="00C04C32">
            <w:pPr>
              <w:rPr>
                <w:noProof/>
                <w:color w:val="000000" w:themeColor="text1"/>
              </w:rPr>
            </w:pPr>
            <w:r w:rsidRPr="4E03C77D">
              <w:rPr>
                <w:b/>
                <w:bCs/>
                <w:noProof/>
                <w:color w:val="000000" w:themeColor="text1"/>
              </w:rPr>
              <w:t>Qualitative assessment</w:t>
            </w:r>
          </w:p>
        </w:tc>
      </w:tr>
      <w:tr w:rsidR="00C04C32" w:rsidRPr="00AF61BA" w14:paraId="25F683E2" w14:textId="77777777" w:rsidTr="00C04C32">
        <w:trPr>
          <w:trHeight w:val="300"/>
        </w:trPr>
        <w:tc>
          <w:tcPr>
            <w:tcW w:w="8834" w:type="dxa"/>
          </w:tcPr>
          <w:p w14:paraId="41CB0E75" w14:textId="7C64DC3E" w:rsidR="00C04C32" w:rsidRPr="00BA474D" w:rsidRDefault="00C04C32" w:rsidP="00C04C32">
            <w:pPr>
              <w:rPr>
                <w:i/>
                <w:noProof/>
                <w:color w:val="000000" w:themeColor="text1"/>
              </w:rPr>
            </w:pPr>
            <w:r w:rsidRPr="00BA474D">
              <w:rPr>
                <w:noProof/>
                <w:color w:val="000000" w:themeColor="text1"/>
              </w:rPr>
              <w:t>The package of preferred measures is expected to strongly reduce the compliance burdens faced by SMEs at each step of their lifecycle. The package would also simplify the operational phase by introducing digital tools for corporate law procedures and allowing for online shareholder and board of direct meetings. In addition, it is expected that each 28</w:t>
            </w:r>
            <w:r w:rsidRPr="00BA474D">
              <w:rPr>
                <w:noProof/>
                <w:color w:val="000000" w:themeColor="text1"/>
                <w:vertAlign w:val="superscript"/>
              </w:rPr>
              <w:t>th</w:t>
            </w:r>
            <w:r w:rsidRPr="00BA474D">
              <w:rPr>
                <w:noProof/>
                <w:color w:val="000000" w:themeColor="text1"/>
              </w:rPr>
              <w:t xml:space="preserve"> regime company setting up an employee ownership plan, including the easy-to-use EU-ESO with a harmonised timing of taxation, could benefit from cost savings. Finally, the package of preferred measures is expected to strongly improve the investment environment for 28</w:t>
            </w:r>
            <w:r w:rsidRPr="00BA474D">
              <w:rPr>
                <w:noProof/>
                <w:color w:val="000000" w:themeColor="text1"/>
                <w:vertAlign w:val="superscript"/>
              </w:rPr>
              <w:t>th</w:t>
            </w:r>
            <w:r w:rsidRPr="00BA474D">
              <w:rPr>
                <w:noProof/>
                <w:color w:val="000000" w:themeColor="text1"/>
              </w:rPr>
              <w:t xml:space="preserve"> regime companies by increasing legal certainty, standardisation and predictability for growth strategies as well as venture capital and other equity-based financing. SMEs would benefit from administrative burden reduction, including due to reduced time and less costs linked to due diligence about legal requirements, in-person formalities for share transfers and mandatory involvement of notaries and other intermediaries.</w:t>
            </w:r>
          </w:p>
        </w:tc>
      </w:tr>
      <w:tr w:rsidR="00C04C32" w:rsidRPr="00AF61BA" w14:paraId="7335B520" w14:textId="77777777" w:rsidTr="00C04C32">
        <w:trPr>
          <w:trHeight w:val="300"/>
        </w:trPr>
        <w:tc>
          <w:tcPr>
            <w:tcW w:w="8834" w:type="dxa"/>
          </w:tcPr>
          <w:p w14:paraId="7D2E45B9" w14:textId="77777777" w:rsidR="00C04C32" w:rsidRPr="00AF61BA" w:rsidRDefault="00C04C32" w:rsidP="00C04C32">
            <w:pPr>
              <w:rPr>
                <w:noProof/>
                <w:color w:val="000000" w:themeColor="text1"/>
              </w:rPr>
            </w:pPr>
            <w:r w:rsidRPr="4E03C77D">
              <w:rPr>
                <w:b/>
                <w:bCs/>
                <w:noProof/>
                <w:color w:val="000000" w:themeColor="text1"/>
              </w:rPr>
              <w:t>Quantitative assessment</w:t>
            </w:r>
          </w:p>
        </w:tc>
      </w:tr>
      <w:tr w:rsidR="00C04C32" w:rsidRPr="00AF61BA" w14:paraId="3CBC6550" w14:textId="77777777" w:rsidTr="00C04C32">
        <w:trPr>
          <w:trHeight w:val="300"/>
        </w:trPr>
        <w:tc>
          <w:tcPr>
            <w:tcW w:w="8834" w:type="dxa"/>
          </w:tcPr>
          <w:p w14:paraId="6E72949E" w14:textId="3E236C43" w:rsidR="00C04C32" w:rsidRPr="00B665D4" w:rsidRDefault="00C04C32" w:rsidP="00C04C32">
            <w:pPr>
              <w:rPr>
                <w:noProof/>
                <w:color w:val="000000" w:themeColor="text1"/>
                <w:sz w:val="24"/>
                <w:szCs w:val="24"/>
                <w:highlight w:val="lightGray"/>
              </w:rPr>
            </w:pPr>
            <w:r w:rsidRPr="00CD04C6">
              <w:rPr>
                <w:noProof/>
                <w:color w:val="000000" w:themeColor="text1"/>
              </w:rPr>
              <w:t>As</w:t>
            </w:r>
            <w:r w:rsidRPr="00CD04C6" w:rsidDel="00DC6860">
              <w:rPr>
                <w:noProof/>
                <w:color w:val="000000" w:themeColor="text1"/>
              </w:rPr>
              <w:t xml:space="preserve"> </w:t>
            </w:r>
            <w:r>
              <w:rPr>
                <w:noProof/>
                <w:color w:val="000000" w:themeColor="text1"/>
              </w:rPr>
              <w:t>the vast majority of</w:t>
            </w:r>
            <w:r w:rsidRPr="00CD04C6">
              <w:rPr>
                <w:noProof/>
                <w:color w:val="000000" w:themeColor="text1"/>
              </w:rPr>
              <w:t xml:space="preserve"> newly formed 28</w:t>
            </w:r>
            <w:r w:rsidRPr="00CD04C6">
              <w:rPr>
                <w:noProof/>
                <w:color w:val="000000" w:themeColor="text1"/>
                <w:vertAlign w:val="superscript"/>
              </w:rPr>
              <w:t>th</w:t>
            </w:r>
            <w:r w:rsidRPr="00CD04C6">
              <w:rPr>
                <w:noProof/>
                <w:color w:val="000000" w:themeColor="text1"/>
              </w:rPr>
              <w:t xml:space="preserve"> regime companies will be SMEs, the expected </w:t>
            </w:r>
            <w:r>
              <w:rPr>
                <w:noProof/>
                <w:color w:val="000000" w:themeColor="text1"/>
              </w:rPr>
              <w:t xml:space="preserve">overall </w:t>
            </w:r>
            <w:r w:rsidRPr="00CD04C6">
              <w:rPr>
                <w:noProof/>
                <w:color w:val="000000" w:themeColor="text1"/>
              </w:rPr>
              <w:t>administrative burden reduction</w:t>
            </w:r>
            <w:r w:rsidRPr="001A62F1">
              <w:rPr>
                <w:noProof/>
                <w:sz w:val="24"/>
                <w:szCs w:val="24"/>
              </w:rPr>
              <w:t xml:space="preserve"> of </w:t>
            </w:r>
            <w:r w:rsidRPr="00CD04C6">
              <w:rPr>
                <w:noProof/>
                <w:color w:val="000000" w:themeColor="text1"/>
              </w:rPr>
              <w:t>EUR 328 million to EUR 440 million over a period of 10 years</w:t>
            </w:r>
            <w:r>
              <w:rPr>
                <w:noProof/>
                <w:color w:val="000000" w:themeColor="text1"/>
              </w:rPr>
              <w:t xml:space="preserve"> will mostly benefit this group of enterprises</w:t>
            </w:r>
            <w:r w:rsidRPr="00CD04C6">
              <w:rPr>
                <w:noProof/>
                <w:color w:val="000000" w:themeColor="text1"/>
              </w:rPr>
              <w:t xml:space="preserve">. </w:t>
            </w:r>
          </w:p>
        </w:tc>
      </w:tr>
      <w:tr w:rsidR="00C04C32" w:rsidRPr="00AF61BA" w14:paraId="44757A97" w14:textId="77777777" w:rsidTr="00C04C32">
        <w:trPr>
          <w:trHeight w:val="300"/>
        </w:trPr>
        <w:tc>
          <w:tcPr>
            <w:tcW w:w="8834" w:type="dxa"/>
          </w:tcPr>
          <w:p w14:paraId="228787E7" w14:textId="77777777" w:rsidR="00C04C32" w:rsidRPr="00AF61BA" w:rsidRDefault="00C04C32" w:rsidP="00C04C32">
            <w:pPr>
              <w:rPr>
                <w:b/>
                <w:bCs/>
                <w:noProof/>
                <w:color w:val="000000" w:themeColor="text1"/>
              </w:rPr>
            </w:pPr>
            <w:r w:rsidRPr="4E03C77D">
              <w:rPr>
                <w:b/>
                <w:bCs/>
                <w:noProof/>
                <w:color w:val="000000" w:themeColor="text1"/>
              </w:rPr>
              <w:t xml:space="preserve">What are the indirect impacts of this initiative on SMEs? </w:t>
            </w:r>
            <w:r w:rsidRPr="4E03C77D">
              <w:rPr>
                <w:i/>
                <w:iCs/>
                <w:noProof/>
                <w:color w:val="000000" w:themeColor="text1"/>
              </w:rPr>
              <w:t>(Fill in only if step 1 flags indirect impacts)</w:t>
            </w:r>
          </w:p>
        </w:tc>
      </w:tr>
      <w:tr w:rsidR="00C04C32" w:rsidRPr="00AF61BA" w14:paraId="3C645B1D" w14:textId="77777777" w:rsidTr="00C04C32">
        <w:trPr>
          <w:trHeight w:val="300"/>
        </w:trPr>
        <w:tc>
          <w:tcPr>
            <w:tcW w:w="8834" w:type="dxa"/>
          </w:tcPr>
          <w:p w14:paraId="69ECCC3E" w14:textId="1744AA60" w:rsidR="00C04C32" w:rsidRPr="00BA474D" w:rsidRDefault="00C04C32" w:rsidP="00C04C32">
            <w:pPr>
              <w:rPr>
                <w:i/>
                <w:noProof/>
                <w:color w:val="000000" w:themeColor="text1"/>
              </w:rPr>
            </w:pPr>
            <w:r w:rsidRPr="00BA474D">
              <w:rPr>
                <w:noProof/>
                <w:color w:val="000000" w:themeColor="text1"/>
              </w:rPr>
              <w:t>Some existing SMEs could convert into 28</w:t>
            </w:r>
            <w:r w:rsidRPr="00BA474D">
              <w:rPr>
                <w:noProof/>
                <w:color w:val="000000" w:themeColor="text1"/>
                <w:vertAlign w:val="superscript"/>
              </w:rPr>
              <w:t>th</w:t>
            </w:r>
            <w:r w:rsidRPr="00BA474D">
              <w:rPr>
                <w:noProof/>
                <w:color w:val="000000" w:themeColor="text1"/>
              </w:rPr>
              <w:t xml:space="preserve"> regime companies (see above). In addition, through increased entrepreneurial activity across the Single Market and potential enhanced innovation capacity, it is expected that existing SMEs could have indirect benefits, for example thanks to new business partners and sub-contracting. </w:t>
            </w:r>
          </w:p>
        </w:tc>
      </w:tr>
    </w:tbl>
    <w:p w14:paraId="71083349" w14:textId="77777777" w:rsidR="001A529D" w:rsidRPr="00AF61BA" w:rsidRDefault="001A529D" w:rsidP="001A529D">
      <w:pPr>
        <w:spacing w:after="0"/>
        <w:rPr>
          <w:b/>
          <w:bCs/>
          <w:noProof/>
          <w:color w:val="000000" w:themeColor="text1"/>
        </w:rPr>
      </w:pPr>
    </w:p>
    <w:tbl>
      <w:tblPr>
        <w:tblStyle w:val="TableGrid"/>
        <w:tblW w:w="9180" w:type="dxa"/>
        <w:tblLook w:val="04A0" w:firstRow="1" w:lastRow="0" w:firstColumn="1" w:lastColumn="0" w:noHBand="0" w:noVBand="1"/>
      </w:tblPr>
      <w:tblGrid>
        <w:gridCol w:w="9180"/>
      </w:tblGrid>
      <w:tr w:rsidR="001A529D" w:rsidRPr="00AF61BA" w14:paraId="587DFDF4" w14:textId="77777777" w:rsidTr="00646A30">
        <w:tc>
          <w:tcPr>
            <w:tcW w:w="9180" w:type="dxa"/>
          </w:tcPr>
          <w:p w14:paraId="62A469DC" w14:textId="77777777" w:rsidR="001A529D" w:rsidRPr="00AF61BA" w:rsidRDefault="001A529D" w:rsidP="00B87DBD">
            <w:pPr>
              <w:pStyle w:val="ListParagraph"/>
              <w:numPr>
                <w:ilvl w:val="0"/>
                <w:numId w:val="7"/>
              </w:numPr>
              <w:spacing w:after="0"/>
              <w:jc w:val="left"/>
              <w:rPr>
                <w:b/>
                <w:bCs/>
                <w:smallCaps/>
                <w:noProof/>
                <w:color w:val="000000" w:themeColor="text1"/>
              </w:rPr>
            </w:pPr>
            <w:r w:rsidRPr="4E03C77D">
              <w:rPr>
                <w:b/>
                <w:bCs/>
                <w:smallCaps/>
                <w:noProof/>
                <w:color w:val="000000" w:themeColor="text1"/>
              </w:rPr>
              <w:t>Minimising negative impacts on SMEs</w:t>
            </w:r>
          </w:p>
        </w:tc>
      </w:tr>
      <w:tr w:rsidR="001A529D" w:rsidRPr="00AF61BA" w14:paraId="3CC278F3" w14:textId="77777777" w:rsidTr="00646A30">
        <w:tc>
          <w:tcPr>
            <w:tcW w:w="9180" w:type="dxa"/>
          </w:tcPr>
          <w:p w14:paraId="74845C18" w14:textId="77777777" w:rsidR="001A529D" w:rsidRPr="00AF61BA" w:rsidRDefault="001A529D">
            <w:pPr>
              <w:rPr>
                <w:noProof/>
                <w:color w:val="000000" w:themeColor="text1"/>
              </w:rPr>
            </w:pPr>
            <w:r w:rsidRPr="4E03C77D">
              <w:rPr>
                <w:b/>
                <w:bCs/>
                <w:noProof/>
                <w:color w:val="000000" w:themeColor="text1"/>
              </w:rPr>
              <w:t xml:space="preserve">Are SMEs disproportionately affected compared to large companies? </w:t>
            </w:r>
            <w:r w:rsidRPr="4E03C77D">
              <w:rPr>
                <w:noProof/>
                <w:color w:val="000000" w:themeColor="text1"/>
              </w:rPr>
              <w:t>(</w:t>
            </w:r>
            <w:r w:rsidRPr="4E03C77D">
              <w:rPr>
                <w:i/>
                <w:iCs/>
                <w:noProof/>
                <w:color w:val="000000" w:themeColor="text1"/>
              </w:rPr>
              <w:t>Yes/No)</w:t>
            </w:r>
          </w:p>
          <w:p w14:paraId="14CDF87C" w14:textId="77777777" w:rsidR="001A529D" w:rsidRPr="00AF61BA" w:rsidRDefault="001A529D">
            <w:pPr>
              <w:rPr>
                <w:b/>
                <w:bCs/>
                <w:noProof/>
                <w:color w:val="000000" w:themeColor="text1"/>
              </w:rPr>
            </w:pPr>
            <w:r w:rsidRPr="59115C3B">
              <w:rPr>
                <w:b/>
                <w:bCs/>
                <w:noProof/>
                <w:color w:val="000000" w:themeColor="text1"/>
              </w:rPr>
              <w:t>If yes, are there any specific subgroups</w:t>
            </w:r>
            <w:r>
              <w:rPr>
                <w:noProof/>
              </w:rPr>
              <w:t xml:space="preserve"> </w:t>
            </w:r>
            <w:r w:rsidRPr="59115C3B">
              <w:rPr>
                <w:b/>
                <w:bCs/>
                <w:noProof/>
                <w:color w:val="000000" w:themeColor="text1"/>
              </w:rPr>
              <w:t>of SMEs more exposed than others?</w:t>
            </w:r>
          </w:p>
        </w:tc>
      </w:tr>
      <w:tr w:rsidR="001A529D" w:rsidRPr="00AF61BA" w14:paraId="1B5A1C72" w14:textId="77777777" w:rsidTr="00646A30">
        <w:tc>
          <w:tcPr>
            <w:tcW w:w="9180" w:type="dxa"/>
          </w:tcPr>
          <w:p w14:paraId="0BA6DC32" w14:textId="3CBA5B68" w:rsidR="001A529D" w:rsidRPr="00B665D4" w:rsidRDefault="00E431E6">
            <w:pPr>
              <w:rPr>
                <w:noProof/>
                <w:color w:val="000000" w:themeColor="text1"/>
                <w:sz w:val="22"/>
                <w:szCs w:val="22"/>
              </w:rPr>
            </w:pPr>
            <w:r w:rsidRPr="00B665D4">
              <w:rPr>
                <w:noProof/>
                <w:color w:val="000000" w:themeColor="text1"/>
                <w:sz w:val="22"/>
                <w:szCs w:val="22"/>
              </w:rPr>
              <w:t>No.</w:t>
            </w:r>
          </w:p>
        </w:tc>
      </w:tr>
      <w:tr w:rsidR="001A529D" w:rsidRPr="00AF61BA" w14:paraId="446D4864" w14:textId="77777777" w:rsidTr="00646A30">
        <w:tc>
          <w:tcPr>
            <w:tcW w:w="9180" w:type="dxa"/>
          </w:tcPr>
          <w:p w14:paraId="6B01F051" w14:textId="77777777" w:rsidR="001A529D" w:rsidRPr="00AF61BA" w:rsidRDefault="001A529D">
            <w:pPr>
              <w:rPr>
                <w:b/>
                <w:bCs/>
                <w:noProof/>
                <w:color w:val="000000" w:themeColor="text1"/>
              </w:rPr>
            </w:pPr>
            <w:r w:rsidRPr="4E03C77D">
              <w:rPr>
                <w:b/>
                <w:bCs/>
                <w:noProof/>
                <w:color w:val="000000" w:themeColor="text1"/>
              </w:rPr>
              <w:t xml:space="preserve">Have mitigating measures been included in the preferred option/proposal? </w:t>
            </w:r>
            <w:r w:rsidRPr="4E03C77D">
              <w:rPr>
                <w:noProof/>
                <w:color w:val="000000" w:themeColor="text1"/>
              </w:rPr>
              <w:t xml:space="preserve">(Yes/No) </w:t>
            </w:r>
          </w:p>
        </w:tc>
      </w:tr>
      <w:tr w:rsidR="001A529D" w:rsidRPr="00AF61BA" w14:paraId="3348E78E" w14:textId="77777777" w:rsidTr="00646A30">
        <w:tc>
          <w:tcPr>
            <w:tcW w:w="9180" w:type="dxa"/>
          </w:tcPr>
          <w:p w14:paraId="2F7EECA3" w14:textId="54518836" w:rsidR="001A529D" w:rsidRPr="00B665D4" w:rsidRDefault="00E431E6">
            <w:pPr>
              <w:rPr>
                <w:i/>
                <w:noProof/>
                <w:color w:val="000000" w:themeColor="text1"/>
                <w:sz w:val="22"/>
                <w:szCs w:val="22"/>
              </w:rPr>
            </w:pPr>
            <w:r w:rsidRPr="00B665D4">
              <w:rPr>
                <w:noProof/>
                <w:color w:val="000000" w:themeColor="text1"/>
                <w:sz w:val="22"/>
                <w:szCs w:val="22"/>
              </w:rPr>
              <w:t>No.</w:t>
            </w:r>
          </w:p>
        </w:tc>
      </w:tr>
    </w:tbl>
    <w:p w14:paraId="0EE81139" w14:textId="77777777" w:rsidR="001A529D" w:rsidRDefault="001A529D" w:rsidP="001A529D">
      <w:pPr>
        <w:spacing w:after="0"/>
        <w:rPr>
          <w:b/>
          <w:bCs/>
          <w:smallCaps/>
          <w:noProof/>
          <w:color w:val="000000" w:themeColor="text1"/>
        </w:rPr>
      </w:pPr>
    </w:p>
    <w:tbl>
      <w:tblPr>
        <w:tblStyle w:val="TableGrid"/>
        <w:tblW w:w="0" w:type="auto"/>
        <w:tblLayout w:type="fixed"/>
        <w:tblLook w:val="06A0" w:firstRow="1" w:lastRow="0" w:firstColumn="1" w:lastColumn="0" w:noHBand="1" w:noVBand="1"/>
      </w:tblPr>
      <w:tblGrid>
        <w:gridCol w:w="9180"/>
      </w:tblGrid>
      <w:tr w:rsidR="001A529D" w14:paraId="53204075" w14:textId="77777777">
        <w:trPr>
          <w:trHeight w:val="300"/>
        </w:trPr>
        <w:tc>
          <w:tcPr>
            <w:tcW w:w="9180" w:type="dxa"/>
          </w:tcPr>
          <w:p w14:paraId="77E97AFD" w14:textId="77777777" w:rsidR="001A529D" w:rsidRDefault="001A529D">
            <w:pPr>
              <w:rPr>
                <w:b/>
                <w:bCs/>
                <w:smallCaps/>
                <w:noProof/>
                <w:color w:val="000000" w:themeColor="text1"/>
              </w:rPr>
            </w:pPr>
            <w:r w:rsidRPr="4EBE68BB">
              <w:rPr>
                <w:b/>
                <w:bCs/>
                <w:smallCaps/>
                <w:noProof/>
                <w:color w:val="000000" w:themeColor="text1"/>
              </w:rPr>
              <w:t>Contribution to the 35% burden reduction target for SMEs</w:t>
            </w:r>
          </w:p>
        </w:tc>
      </w:tr>
      <w:tr w:rsidR="001A529D" w14:paraId="4D1F062C" w14:textId="77777777">
        <w:trPr>
          <w:trHeight w:val="300"/>
        </w:trPr>
        <w:tc>
          <w:tcPr>
            <w:tcW w:w="9180" w:type="dxa"/>
          </w:tcPr>
          <w:p w14:paraId="1755AEC9" w14:textId="77777777" w:rsidR="001A529D" w:rsidRDefault="001A529D">
            <w:pPr>
              <w:rPr>
                <w:b/>
                <w:bCs/>
                <w:noProof/>
                <w:color w:val="000000" w:themeColor="text1"/>
              </w:rPr>
            </w:pPr>
            <w:r w:rsidRPr="4EBE68BB">
              <w:rPr>
                <w:b/>
                <w:bCs/>
                <w:noProof/>
                <w:color w:val="000000" w:themeColor="text1"/>
              </w:rPr>
              <w:t>Are there any administrative cost savings relevant for the 35% burden reduction target for SMEs?</w:t>
            </w:r>
          </w:p>
        </w:tc>
      </w:tr>
      <w:tr w:rsidR="001A529D" w14:paraId="43B228FA" w14:textId="77777777">
        <w:trPr>
          <w:trHeight w:val="300"/>
        </w:trPr>
        <w:tc>
          <w:tcPr>
            <w:tcW w:w="9180" w:type="dxa"/>
          </w:tcPr>
          <w:p w14:paraId="3A3CA5D1" w14:textId="22D146C7" w:rsidR="001A529D" w:rsidRPr="00646A30" w:rsidRDefault="00B562E3">
            <w:pPr>
              <w:rPr>
                <w:noProof/>
                <w:color w:val="000000" w:themeColor="text1"/>
                <w:sz w:val="22"/>
                <w:szCs w:val="22"/>
              </w:rPr>
            </w:pPr>
            <w:r w:rsidRPr="006545B9">
              <w:rPr>
                <w:noProof/>
                <w:color w:val="000000" w:themeColor="text1"/>
                <w:sz w:val="22"/>
                <w:szCs w:val="22"/>
              </w:rPr>
              <w:t>A</w:t>
            </w:r>
            <w:r w:rsidR="00B02786" w:rsidRPr="006545B9">
              <w:rPr>
                <w:noProof/>
                <w:color w:val="000000" w:themeColor="text1"/>
                <w:sz w:val="22"/>
                <w:szCs w:val="22"/>
              </w:rPr>
              <w:t>dministrative burden reduction</w:t>
            </w:r>
            <w:r w:rsidR="00B02786" w:rsidRPr="006545B9">
              <w:rPr>
                <w:noProof/>
                <w:sz w:val="22"/>
                <w:szCs w:val="22"/>
              </w:rPr>
              <w:t xml:space="preserve"> of </w:t>
            </w:r>
            <w:r w:rsidR="00B02786" w:rsidRPr="006545B9">
              <w:rPr>
                <w:noProof/>
                <w:color w:val="000000" w:themeColor="text1"/>
                <w:sz w:val="22"/>
                <w:szCs w:val="22"/>
              </w:rPr>
              <w:t>EUR </w:t>
            </w:r>
            <w:r w:rsidR="002853C6" w:rsidRPr="006545B9">
              <w:rPr>
                <w:noProof/>
                <w:color w:val="000000" w:themeColor="text1"/>
                <w:sz w:val="22"/>
                <w:szCs w:val="22"/>
              </w:rPr>
              <w:t>328</w:t>
            </w:r>
            <w:r w:rsidR="00B02786" w:rsidRPr="006545B9">
              <w:rPr>
                <w:noProof/>
                <w:color w:val="000000" w:themeColor="text1"/>
                <w:sz w:val="22"/>
                <w:szCs w:val="22"/>
              </w:rPr>
              <w:t xml:space="preserve"> million to EUR </w:t>
            </w:r>
            <w:r w:rsidR="002853C6" w:rsidRPr="006545B9">
              <w:rPr>
                <w:noProof/>
                <w:color w:val="000000" w:themeColor="text1"/>
                <w:sz w:val="22"/>
                <w:szCs w:val="22"/>
              </w:rPr>
              <w:t>440</w:t>
            </w:r>
            <w:r w:rsidR="00B02786" w:rsidRPr="006545B9">
              <w:rPr>
                <w:noProof/>
                <w:color w:val="000000" w:themeColor="text1"/>
                <w:sz w:val="22"/>
                <w:szCs w:val="22"/>
              </w:rPr>
              <w:t xml:space="preserve"> million</w:t>
            </w:r>
            <w:r w:rsidRPr="006545B9">
              <w:rPr>
                <w:noProof/>
                <w:color w:val="000000" w:themeColor="text1"/>
                <w:sz w:val="22"/>
                <w:szCs w:val="22"/>
              </w:rPr>
              <w:t>.</w:t>
            </w:r>
          </w:p>
        </w:tc>
      </w:tr>
    </w:tbl>
    <w:p w14:paraId="12371029" w14:textId="77777777" w:rsidR="00A05BAC" w:rsidRDefault="00A05BAC">
      <w:pPr>
        <w:spacing w:after="200" w:line="276" w:lineRule="auto"/>
        <w:jc w:val="left"/>
        <w:rPr>
          <w:rFonts w:eastAsia="Times New Roman"/>
          <w:b/>
          <w:smallCaps/>
          <w:noProof/>
          <w:sz w:val="32"/>
          <w:szCs w:val="20"/>
        </w:rPr>
      </w:pPr>
      <w:r>
        <w:rPr>
          <w:noProof/>
        </w:rPr>
        <w:br w:type="page"/>
      </w:r>
    </w:p>
    <w:p w14:paraId="1BEEB911" w14:textId="77777777" w:rsidR="00B760A3" w:rsidRDefault="00B760A3" w:rsidP="00C22AB4">
      <w:pPr>
        <w:pStyle w:val="AnnexTitle"/>
        <w:rPr>
          <w:noProof/>
          <w:lang w:val="en-IE"/>
        </w:rPr>
        <w:sectPr w:rsidR="00B760A3" w:rsidSect="0053316B">
          <w:headerReference w:type="even" r:id="rId24"/>
          <w:headerReference w:type="default" r:id="rId25"/>
          <w:footerReference w:type="even" r:id="rId26"/>
          <w:footerReference w:type="default" r:id="rId27"/>
          <w:headerReference w:type="first" r:id="rId28"/>
          <w:footerReference w:type="first" r:id="rId29"/>
          <w:pgSz w:w="11906" w:h="16838"/>
          <w:pgMar w:top="1020" w:right="1701" w:bottom="1020" w:left="1587" w:header="601" w:footer="1077" w:gutter="0"/>
          <w:cols w:space="720"/>
          <w:titlePg/>
        </w:sectPr>
      </w:pPr>
    </w:p>
    <w:p w14:paraId="1AA6FE4F" w14:textId="15C903F4" w:rsidR="006B087E" w:rsidRDefault="008F2068" w:rsidP="00C22AB4">
      <w:pPr>
        <w:pStyle w:val="AnnexTitle"/>
        <w:rPr>
          <w:noProof/>
          <w:lang w:val="en-IE"/>
        </w:rPr>
      </w:pPr>
      <w:bookmarkStart w:id="33" w:name="_Toc219390730"/>
      <w:r w:rsidRPr="00950126">
        <w:rPr>
          <w:noProof/>
          <w:lang w:val="en-IE"/>
        </w:rPr>
        <w:t xml:space="preserve">Annex </w:t>
      </w:r>
      <w:r w:rsidR="00632EFC" w:rsidRPr="00950126">
        <w:rPr>
          <w:noProof/>
          <w:lang w:val="en-IE"/>
        </w:rPr>
        <w:t>7</w:t>
      </w:r>
      <w:r w:rsidRPr="00950126">
        <w:rPr>
          <w:noProof/>
          <w:lang w:val="en-IE"/>
        </w:rPr>
        <w:t xml:space="preserve">: </w:t>
      </w:r>
      <w:r w:rsidR="00950126" w:rsidRPr="00950126">
        <w:rPr>
          <w:noProof/>
          <w:lang w:val="en-IE"/>
        </w:rPr>
        <w:t xml:space="preserve">Overview of </w:t>
      </w:r>
      <w:r w:rsidR="00950126">
        <w:rPr>
          <w:noProof/>
          <w:lang w:val="en-IE"/>
        </w:rPr>
        <w:t xml:space="preserve">policy </w:t>
      </w:r>
      <w:r w:rsidR="003049B6" w:rsidRPr="00950126">
        <w:rPr>
          <w:noProof/>
          <w:lang w:val="en-IE"/>
        </w:rPr>
        <w:t>options</w:t>
      </w:r>
      <w:r w:rsidR="00E61CC8" w:rsidRPr="007073AD">
        <w:rPr>
          <w:noProof/>
          <w:lang w:val="en-IE"/>
        </w:rPr>
        <w:t xml:space="preserve"> </w:t>
      </w:r>
      <w:r w:rsidR="00E61CC8">
        <w:rPr>
          <w:noProof/>
          <w:lang w:val="en-IE"/>
        </w:rPr>
        <w:t>-</w:t>
      </w:r>
      <w:r w:rsidR="00E61CC8" w:rsidRPr="00E61CC8">
        <w:rPr>
          <w:noProof/>
          <w:lang w:val="en-IE"/>
        </w:rPr>
        <w:t xml:space="preserve"> problem drivers </w:t>
      </w:r>
      <w:r w:rsidR="00E61CC8">
        <w:rPr>
          <w:noProof/>
          <w:lang w:val="en-IE"/>
        </w:rPr>
        <w:t>-</w:t>
      </w:r>
      <w:r w:rsidR="00E61CC8" w:rsidRPr="00E61CC8">
        <w:rPr>
          <w:noProof/>
          <w:lang w:val="en-IE"/>
        </w:rPr>
        <w:t xml:space="preserve"> specific objectives</w:t>
      </w:r>
      <w:bookmarkEnd w:id="33"/>
    </w:p>
    <w:p w14:paraId="601BBF56" w14:textId="17BF703A" w:rsidR="001123FF" w:rsidRDefault="001123FF" w:rsidP="00304944">
      <w:pPr>
        <w:spacing w:after="0"/>
        <w:rPr>
          <w:noProof/>
        </w:rPr>
      </w:pPr>
    </w:p>
    <w:tbl>
      <w:tblPr>
        <w:tblStyle w:val="TableGrid"/>
        <w:tblW w:w="13765" w:type="dxa"/>
        <w:jc w:val="center"/>
        <w:tblLayout w:type="fixed"/>
        <w:tblLook w:val="04A0" w:firstRow="1" w:lastRow="0" w:firstColumn="1" w:lastColumn="0" w:noHBand="0" w:noVBand="1"/>
      </w:tblPr>
      <w:tblGrid>
        <w:gridCol w:w="6856"/>
        <w:gridCol w:w="3634"/>
        <w:gridCol w:w="3260"/>
        <w:gridCol w:w="15"/>
      </w:tblGrid>
      <w:tr w:rsidR="009D4F22" w:rsidRPr="00CA315A" w14:paraId="39C99281" w14:textId="77777777" w:rsidTr="07E358E1">
        <w:trPr>
          <w:cantSplit/>
          <w:jc w:val="center"/>
        </w:trPr>
        <w:tc>
          <w:tcPr>
            <w:tcW w:w="13765" w:type="dxa"/>
            <w:gridSpan w:val="4"/>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14:paraId="0DA00383" w14:textId="77777777" w:rsidR="00D960F2" w:rsidRPr="00156B92" w:rsidRDefault="00D960F2" w:rsidP="00350C7C">
            <w:pPr>
              <w:tabs>
                <w:tab w:val="left" w:pos="170"/>
              </w:tabs>
              <w:spacing w:before="120" w:after="120"/>
              <w:jc w:val="center"/>
              <w:rPr>
                <w:b/>
                <w:bCs/>
                <w:noProof/>
                <w:sz w:val="22"/>
                <w:szCs w:val="22"/>
              </w:rPr>
            </w:pPr>
            <w:r w:rsidRPr="007073AD">
              <w:rPr>
                <w:b/>
                <w:noProof/>
                <w:sz w:val="22"/>
                <w:szCs w:val="22"/>
              </w:rPr>
              <w:t xml:space="preserve">Overview of policy </w:t>
            </w:r>
            <w:r w:rsidRPr="00156B92">
              <w:rPr>
                <w:b/>
                <w:bCs/>
                <w:noProof/>
                <w:sz w:val="22"/>
                <w:szCs w:val="22"/>
              </w:rPr>
              <w:t>options</w:t>
            </w:r>
            <w:r w:rsidRPr="007073AD">
              <w:rPr>
                <w:b/>
                <w:noProof/>
                <w:sz w:val="22"/>
                <w:szCs w:val="22"/>
              </w:rPr>
              <w:t xml:space="preserve"> with the related problem drivers and specific objectives</w:t>
            </w:r>
          </w:p>
        </w:tc>
      </w:tr>
      <w:tr w:rsidR="00101A1B" w:rsidRPr="00CA315A" w14:paraId="1A4898E8" w14:textId="77777777" w:rsidTr="07E358E1">
        <w:trPr>
          <w:gridAfter w:val="1"/>
          <w:wAfter w:w="15" w:type="dxa"/>
          <w:cantSplit/>
          <w:trHeight w:val="641"/>
          <w:jc w:val="center"/>
        </w:trPr>
        <w:tc>
          <w:tcPr>
            <w:tcW w:w="685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878B5D" w14:textId="77777777" w:rsidR="00D960F2" w:rsidRPr="007073AD" w:rsidRDefault="00D960F2" w:rsidP="00350C7C">
            <w:pPr>
              <w:tabs>
                <w:tab w:val="left" w:pos="170"/>
              </w:tabs>
              <w:spacing w:before="120" w:after="120"/>
              <w:jc w:val="center"/>
              <w:rPr>
                <w:b/>
                <w:noProof/>
                <w:sz w:val="22"/>
                <w:szCs w:val="22"/>
              </w:rPr>
            </w:pPr>
            <w:r w:rsidRPr="007073AD">
              <w:rPr>
                <w:b/>
                <w:noProof/>
                <w:sz w:val="22"/>
                <w:szCs w:val="22"/>
              </w:rPr>
              <w:t>Policy options</w:t>
            </w:r>
          </w:p>
        </w:tc>
        <w:tc>
          <w:tcPr>
            <w:tcW w:w="36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FA46FA" w14:textId="77777777" w:rsidR="00D960F2" w:rsidRPr="007073AD" w:rsidRDefault="00D960F2" w:rsidP="00350C7C">
            <w:pPr>
              <w:tabs>
                <w:tab w:val="left" w:pos="170"/>
              </w:tabs>
              <w:spacing w:before="120" w:after="120"/>
              <w:jc w:val="center"/>
              <w:rPr>
                <w:b/>
                <w:noProof/>
                <w:sz w:val="22"/>
                <w:szCs w:val="22"/>
              </w:rPr>
            </w:pPr>
            <w:r w:rsidRPr="007073AD">
              <w:rPr>
                <w:b/>
                <w:noProof/>
                <w:sz w:val="22"/>
                <w:szCs w:val="22"/>
              </w:rPr>
              <w:t>Problem drivers</w:t>
            </w:r>
          </w:p>
        </w:tc>
        <w:tc>
          <w:tcPr>
            <w:tcW w:w="326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81B6A4" w14:textId="77777777" w:rsidR="00D960F2" w:rsidRPr="007073AD" w:rsidRDefault="00D960F2" w:rsidP="00350C7C">
            <w:pPr>
              <w:tabs>
                <w:tab w:val="left" w:pos="170"/>
              </w:tabs>
              <w:spacing w:before="120" w:after="120"/>
              <w:jc w:val="center"/>
              <w:rPr>
                <w:b/>
                <w:noProof/>
                <w:sz w:val="22"/>
                <w:szCs w:val="22"/>
              </w:rPr>
            </w:pPr>
            <w:r w:rsidRPr="007073AD">
              <w:rPr>
                <w:b/>
                <w:noProof/>
                <w:sz w:val="22"/>
                <w:szCs w:val="22"/>
              </w:rPr>
              <w:t>Specific objectives</w:t>
            </w:r>
          </w:p>
        </w:tc>
      </w:tr>
      <w:tr w:rsidR="005F732D" w:rsidRPr="00CA315A" w14:paraId="7353C5C9" w14:textId="77777777" w:rsidTr="07E358E1">
        <w:trPr>
          <w:gridAfter w:val="1"/>
          <w:wAfter w:w="15" w:type="dxa"/>
          <w:cantSplit/>
          <w:trHeight w:val="1998"/>
          <w:jc w:val="center"/>
        </w:trPr>
        <w:tc>
          <w:tcPr>
            <w:tcW w:w="6856" w:type="dxa"/>
            <w:tcBorders>
              <w:top w:val="single" w:sz="4" w:space="0" w:color="auto"/>
              <w:left w:val="single" w:sz="4" w:space="0" w:color="auto"/>
              <w:bottom w:val="single" w:sz="4" w:space="0" w:color="auto"/>
              <w:right w:val="single" w:sz="4" w:space="0" w:color="auto"/>
            </w:tcBorders>
            <w:vAlign w:val="center"/>
          </w:tcPr>
          <w:p w14:paraId="6E1EC243" w14:textId="77777777" w:rsidR="00AA6FBD" w:rsidRPr="00CA315A" w:rsidRDefault="00AA6FBD" w:rsidP="00350C7C">
            <w:pPr>
              <w:tabs>
                <w:tab w:val="left" w:pos="170"/>
              </w:tabs>
              <w:spacing w:before="120" w:after="120"/>
              <w:rPr>
                <w:noProof/>
                <w:sz w:val="21"/>
                <w:szCs w:val="21"/>
              </w:rPr>
            </w:pPr>
            <w:r w:rsidRPr="00CA315A">
              <w:rPr>
                <w:b/>
                <w:bCs/>
                <w:noProof/>
                <w:sz w:val="21"/>
                <w:szCs w:val="21"/>
              </w:rPr>
              <w:t>Policy option 1a</w:t>
            </w:r>
            <w:r w:rsidRPr="00CA315A">
              <w:rPr>
                <w:noProof/>
                <w:sz w:val="21"/>
                <w:szCs w:val="21"/>
              </w:rPr>
              <w:t xml:space="preserve"> - Introduce a new harmonised legal form for a 28</w:t>
            </w:r>
            <w:r w:rsidRPr="00CA315A">
              <w:rPr>
                <w:noProof/>
                <w:sz w:val="21"/>
                <w:szCs w:val="21"/>
                <w:vertAlign w:val="superscript"/>
              </w:rPr>
              <w:t>th</w:t>
            </w:r>
            <w:r w:rsidRPr="00CA315A">
              <w:rPr>
                <w:noProof/>
                <w:sz w:val="21"/>
                <w:szCs w:val="21"/>
              </w:rPr>
              <w:t xml:space="preserve"> regime company with a recognisable EU brand, to be set up by natural persons as founders.</w:t>
            </w:r>
          </w:p>
          <w:p w14:paraId="2D0F7735" w14:textId="3B03241E" w:rsidR="00AA6FBD" w:rsidRPr="00CA315A" w:rsidRDefault="00AA6FBD" w:rsidP="00350C7C">
            <w:pPr>
              <w:tabs>
                <w:tab w:val="left" w:pos="170"/>
              </w:tabs>
              <w:spacing w:before="120" w:after="120"/>
              <w:rPr>
                <w:noProof/>
                <w:sz w:val="21"/>
                <w:szCs w:val="21"/>
              </w:rPr>
            </w:pPr>
            <w:r w:rsidRPr="00CA315A">
              <w:rPr>
                <w:b/>
                <w:bCs/>
                <w:noProof/>
                <w:sz w:val="21"/>
                <w:szCs w:val="21"/>
              </w:rPr>
              <w:t>Policy option 1b</w:t>
            </w:r>
            <w:r w:rsidRPr="00CA315A">
              <w:rPr>
                <w:noProof/>
                <w:sz w:val="21"/>
                <w:szCs w:val="21"/>
              </w:rPr>
              <w:t xml:space="preserve"> - Option 1a + to be set up also by legal persons</w:t>
            </w:r>
            <w:r w:rsidR="00A14CF4">
              <w:rPr>
                <w:noProof/>
                <w:sz w:val="21"/>
                <w:szCs w:val="21"/>
              </w:rPr>
              <w:t xml:space="preserve"> (</w:t>
            </w:r>
            <w:r w:rsidR="00A14CF4" w:rsidRPr="00AC3D6A">
              <w:rPr>
                <w:noProof/>
                <w:sz w:val="20"/>
                <w:szCs w:val="20"/>
              </w:rPr>
              <w:t>28</w:t>
            </w:r>
            <w:r w:rsidR="00A14CF4" w:rsidRPr="00AC3D6A">
              <w:rPr>
                <w:noProof/>
                <w:sz w:val="20"/>
                <w:szCs w:val="20"/>
                <w:vertAlign w:val="superscript"/>
              </w:rPr>
              <w:t>th</w:t>
            </w:r>
            <w:r w:rsidR="00A14CF4" w:rsidRPr="00AC3D6A">
              <w:rPr>
                <w:noProof/>
                <w:sz w:val="20"/>
                <w:szCs w:val="20"/>
              </w:rPr>
              <w:t xml:space="preserve"> regime subsidiaries),</w:t>
            </w:r>
            <w:r w:rsidR="00A14CF4">
              <w:rPr>
                <w:noProof/>
                <w:sz w:val="21"/>
                <w:szCs w:val="21"/>
              </w:rPr>
              <w:t xml:space="preserve"> </w:t>
            </w:r>
            <w:r w:rsidRPr="00CA315A">
              <w:rPr>
                <w:noProof/>
                <w:sz w:val="21"/>
                <w:szCs w:val="21"/>
              </w:rPr>
              <w:t>with a possibility for existing companies to convert through domestic conversions, and with harmonised rules for setting up branches of 28</w:t>
            </w:r>
            <w:r w:rsidRPr="00CA315A">
              <w:rPr>
                <w:noProof/>
                <w:sz w:val="21"/>
                <w:szCs w:val="21"/>
                <w:vertAlign w:val="superscript"/>
              </w:rPr>
              <w:t>th</w:t>
            </w:r>
            <w:r w:rsidRPr="00CA315A">
              <w:rPr>
                <w:noProof/>
                <w:sz w:val="21"/>
                <w:szCs w:val="21"/>
              </w:rPr>
              <w:t xml:space="preserve"> regime companies.</w:t>
            </w:r>
          </w:p>
          <w:p w14:paraId="455CF143" w14:textId="77777777" w:rsidR="00AA6FBD" w:rsidRPr="00CA315A" w:rsidRDefault="00AA6FBD" w:rsidP="001238A1">
            <w:pPr>
              <w:tabs>
                <w:tab w:val="left" w:pos="170"/>
              </w:tabs>
              <w:spacing w:before="120" w:after="120"/>
              <w:rPr>
                <w:noProof/>
                <w:sz w:val="21"/>
                <w:szCs w:val="21"/>
              </w:rPr>
            </w:pPr>
            <w:r w:rsidRPr="00CA315A">
              <w:rPr>
                <w:b/>
                <w:bCs/>
                <w:noProof/>
                <w:sz w:val="21"/>
                <w:szCs w:val="21"/>
              </w:rPr>
              <w:t>Policy option 1c</w:t>
            </w:r>
            <w:r w:rsidRPr="00CA315A">
              <w:rPr>
                <w:noProof/>
                <w:sz w:val="21"/>
                <w:szCs w:val="21"/>
              </w:rPr>
              <w:t xml:space="preserve"> - Option 1b + a possibility for existing companies to create a 28</w:t>
            </w:r>
            <w:r w:rsidRPr="00CA315A">
              <w:rPr>
                <w:noProof/>
                <w:sz w:val="21"/>
                <w:szCs w:val="21"/>
                <w:vertAlign w:val="superscript"/>
              </w:rPr>
              <w:t>th</w:t>
            </w:r>
            <w:r w:rsidRPr="00CA315A">
              <w:rPr>
                <w:noProof/>
                <w:sz w:val="21"/>
                <w:szCs w:val="21"/>
              </w:rPr>
              <w:t xml:space="preserve"> regime company through a cross-border conversion, division or merger in accordance with Directive 2019/2121.</w:t>
            </w:r>
          </w:p>
        </w:tc>
        <w:tc>
          <w:tcPr>
            <w:tcW w:w="3634" w:type="dxa"/>
            <w:tcBorders>
              <w:top w:val="single" w:sz="4" w:space="0" w:color="auto"/>
              <w:left w:val="single" w:sz="4" w:space="0" w:color="auto"/>
              <w:right w:val="single" w:sz="4" w:space="0" w:color="auto"/>
            </w:tcBorders>
            <w:vAlign w:val="center"/>
          </w:tcPr>
          <w:p w14:paraId="00AC1D07" w14:textId="41F6BA41" w:rsidR="00AA6FBD" w:rsidRPr="007073AD" w:rsidRDefault="00AA6FBD" w:rsidP="001238A1">
            <w:pPr>
              <w:tabs>
                <w:tab w:val="left" w:pos="170"/>
              </w:tabs>
              <w:spacing w:before="120" w:after="120"/>
              <w:jc w:val="left"/>
              <w:rPr>
                <w:noProof/>
                <w:sz w:val="21"/>
                <w:szCs w:val="21"/>
              </w:rPr>
            </w:pPr>
            <w:r w:rsidRPr="007073AD">
              <w:rPr>
                <w:noProof/>
                <w:sz w:val="21"/>
                <w:szCs w:val="21"/>
              </w:rPr>
              <w:t xml:space="preserve">Different national company legal forms and </w:t>
            </w:r>
            <w:r w:rsidR="00AA2529" w:rsidRPr="007073AD">
              <w:rPr>
                <w:noProof/>
                <w:sz w:val="21"/>
                <w:szCs w:val="21"/>
              </w:rPr>
              <w:t>lack</w:t>
            </w:r>
            <w:r w:rsidRPr="007073AD">
              <w:rPr>
                <w:noProof/>
                <w:sz w:val="21"/>
                <w:szCs w:val="21"/>
              </w:rPr>
              <w:t xml:space="preserve"> of </w:t>
            </w:r>
            <w:r w:rsidR="00AA2529" w:rsidRPr="007073AD">
              <w:rPr>
                <w:noProof/>
                <w:sz w:val="21"/>
                <w:szCs w:val="21"/>
              </w:rPr>
              <w:t>an</w:t>
            </w:r>
            <w:r w:rsidRPr="007073AD">
              <w:rPr>
                <w:noProof/>
                <w:sz w:val="21"/>
                <w:szCs w:val="21"/>
              </w:rPr>
              <w:t xml:space="preserve"> EU brand</w:t>
            </w:r>
            <w:r w:rsidR="009D4F22" w:rsidRPr="007073AD">
              <w:rPr>
                <w:noProof/>
                <w:sz w:val="21"/>
                <w:szCs w:val="21"/>
              </w:rPr>
              <w:t>.</w:t>
            </w:r>
          </w:p>
        </w:tc>
        <w:tc>
          <w:tcPr>
            <w:tcW w:w="3260" w:type="dxa"/>
            <w:tcBorders>
              <w:top w:val="single" w:sz="4" w:space="0" w:color="auto"/>
              <w:left w:val="single" w:sz="4" w:space="0" w:color="auto"/>
              <w:bottom w:val="single" w:sz="4" w:space="0" w:color="auto"/>
              <w:right w:val="single" w:sz="4" w:space="0" w:color="auto"/>
            </w:tcBorders>
            <w:vAlign w:val="center"/>
          </w:tcPr>
          <w:p w14:paraId="0CD9A488" w14:textId="651EB1FB" w:rsidR="00AA6FBD" w:rsidRPr="007073AD" w:rsidRDefault="008B1DFC" w:rsidP="00350C7C">
            <w:pPr>
              <w:tabs>
                <w:tab w:val="left" w:pos="170"/>
              </w:tabs>
              <w:spacing w:before="120" w:after="120"/>
              <w:rPr>
                <w:noProof/>
                <w:sz w:val="21"/>
                <w:szCs w:val="21"/>
              </w:rPr>
            </w:pPr>
            <w:r>
              <w:rPr>
                <w:noProof/>
                <w:sz w:val="21"/>
                <w:szCs w:val="21"/>
              </w:rPr>
              <w:t>Provide</w:t>
            </w:r>
            <w:r w:rsidR="00AA6FBD" w:rsidRPr="007073AD">
              <w:rPr>
                <w:noProof/>
                <w:sz w:val="21"/>
                <w:szCs w:val="21"/>
              </w:rPr>
              <w:t xml:space="preserve"> a common corporate legal framework for </w:t>
            </w:r>
            <w:r>
              <w:rPr>
                <w:noProof/>
                <w:sz w:val="21"/>
                <w:szCs w:val="21"/>
              </w:rPr>
              <w:t xml:space="preserve">companies, in particular </w:t>
            </w:r>
            <w:r w:rsidR="00AA6FBD" w:rsidRPr="007073AD">
              <w:rPr>
                <w:noProof/>
                <w:sz w:val="21"/>
                <w:szCs w:val="21"/>
              </w:rPr>
              <w:t>startups and scaleups</w:t>
            </w:r>
            <w:r>
              <w:rPr>
                <w:noProof/>
                <w:sz w:val="21"/>
                <w:szCs w:val="21"/>
              </w:rPr>
              <w:t>,</w:t>
            </w:r>
            <w:r w:rsidR="00AA6FBD" w:rsidRPr="007073AD">
              <w:rPr>
                <w:noProof/>
                <w:sz w:val="21"/>
                <w:szCs w:val="21"/>
              </w:rPr>
              <w:t xml:space="preserve"> in the EU</w:t>
            </w:r>
            <w:r w:rsidR="009D4F22" w:rsidRPr="007073AD">
              <w:rPr>
                <w:noProof/>
                <w:sz w:val="21"/>
                <w:szCs w:val="21"/>
              </w:rPr>
              <w:t>.</w:t>
            </w:r>
          </w:p>
          <w:p w14:paraId="7A62B140" w14:textId="50989622" w:rsidR="00AA6FBD" w:rsidRPr="007073AD" w:rsidRDefault="008B1DFC" w:rsidP="00350C7C">
            <w:pPr>
              <w:tabs>
                <w:tab w:val="left" w:pos="170"/>
              </w:tabs>
              <w:spacing w:before="120" w:after="120"/>
              <w:rPr>
                <w:noProof/>
                <w:sz w:val="21"/>
                <w:szCs w:val="21"/>
              </w:rPr>
            </w:pPr>
            <w:r>
              <w:rPr>
                <w:noProof/>
                <w:sz w:val="21"/>
                <w:szCs w:val="21"/>
              </w:rPr>
              <w:t xml:space="preserve">Provide </w:t>
            </w:r>
            <w:r w:rsidR="00AA6FBD" w:rsidRPr="007073AD">
              <w:rPr>
                <w:noProof/>
                <w:sz w:val="21"/>
                <w:szCs w:val="21"/>
              </w:rPr>
              <w:t xml:space="preserve">simple and efficient corporate rules and procedures throughout the </w:t>
            </w:r>
            <w:r>
              <w:rPr>
                <w:noProof/>
                <w:sz w:val="21"/>
                <w:szCs w:val="21"/>
              </w:rPr>
              <w:t xml:space="preserve">company </w:t>
            </w:r>
            <w:r w:rsidR="00AA6FBD" w:rsidRPr="007073AD">
              <w:rPr>
                <w:noProof/>
                <w:sz w:val="21"/>
                <w:szCs w:val="21"/>
              </w:rPr>
              <w:t>lifecycle</w:t>
            </w:r>
            <w:r w:rsidR="009D4F22" w:rsidRPr="007073AD">
              <w:rPr>
                <w:noProof/>
                <w:sz w:val="21"/>
                <w:szCs w:val="21"/>
              </w:rPr>
              <w:t>.</w:t>
            </w:r>
          </w:p>
          <w:p w14:paraId="3736EEA5" w14:textId="3F7C335F" w:rsidR="00AA6FBD" w:rsidRPr="007073AD" w:rsidRDefault="00AA6FBD" w:rsidP="00350C7C">
            <w:pPr>
              <w:tabs>
                <w:tab w:val="left" w:pos="170"/>
              </w:tabs>
              <w:spacing w:before="120" w:after="120"/>
              <w:rPr>
                <w:noProof/>
                <w:sz w:val="21"/>
                <w:szCs w:val="21"/>
              </w:rPr>
            </w:pPr>
            <w:r w:rsidRPr="007073AD">
              <w:rPr>
                <w:noProof/>
                <w:sz w:val="21"/>
                <w:szCs w:val="21"/>
              </w:rPr>
              <w:t>Ensure that corporate rules provide an enabling framework to invest</w:t>
            </w:r>
            <w:r w:rsidR="009D4F22" w:rsidRPr="007073AD">
              <w:rPr>
                <w:noProof/>
                <w:sz w:val="21"/>
                <w:szCs w:val="21"/>
              </w:rPr>
              <w:t>.</w:t>
            </w:r>
          </w:p>
        </w:tc>
      </w:tr>
      <w:tr w:rsidR="005F732D" w:rsidRPr="00CA315A" w14:paraId="7E851E21" w14:textId="77777777" w:rsidTr="07E358E1">
        <w:trPr>
          <w:gridAfter w:val="1"/>
          <w:wAfter w:w="15" w:type="dxa"/>
          <w:cantSplit/>
          <w:trHeight w:val="744"/>
          <w:jc w:val="center"/>
        </w:trPr>
        <w:tc>
          <w:tcPr>
            <w:tcW w:w="6856" w:type="dxa"/>
            <w:tcBorders>
              <w:top w:val="single" w:sz="4" w:space="0" w:color="auto"/>
              <w:left w:val="single" w:sz="4" w:space="0" w:color="auto"/>
              <w:bottom w:val="single" w:sz="4" w:space="0" w:color="auto"/>
              <w:right w:val="single" w:sz="4" w:space="0" w:color="auto"/>
            </w:tcBorders>
            <w:vAlign w:val="center"/>
          </w:tcPr>
          <w:p w14:paraId="028EB0F5" w14:textId="065327D2" w:rsidR="00AA6FBD" w:rsidRPr="00CA315A" w:rsidRDefault="00AA6FBD" w:rsidP="001238A1">
            <w:pPr>
              <w:tabs>
                <w:tab w:val="left" w:pos="170"/>
              </w:tabs>
              <w:spacing w:before="120" w:after="120"/>
              <w:rPr>
                <w:noProof/>
                <w:sz w:val="21"/>
                <w:szCs w:val="21"/>
              </w:rPr>
            </w:pPr>
            <w:r w:rsidRPr="00CA315A">
              <w:rPr>
                <w:b/>
                <w:bCs/>
                <w:noProof/>
                <w:sz w:val="21"/>
                <w:szCs w:val="21"/>
              </w:rPr>
              <w:t>Policy option 2a</w:t>
            </w:r>
            <w:r w:rsidRPr="00CA315A">
              <w:rPr>
                <w:noProof/>
                <w:sz w:val="21"/>
                <w:szCs w:val="21"/>
              </w:rPr>
              <w:t xml:space="preserve"> - Create a </w:t>
            </w:r>
            <w:r w:rsidR="00DA0E4F">
              <w:rPr>
                <w:noProof/>
                <w:sz w:val="21"/>
                <w:szCs w:val="21"/>
              </w:rPr>
              <w:t xml:space="preserve">central </w:t>
            </w:r>
            <w:r w:rsidRPr="00CA315A">
              <w:rPr>
                <w:noProof/>
                <w:sz w:val="21"/>
                <w:szCs w:val="21"/>
              </w:rPr>
              <w:t>EU interface based on BRIS for the registration of 28</w:t>
            </w:r>
            <w:r w:rsidRPr="00CA315A">
              <w:rPr>
                <w:noProof/>
                <w:sz w:val="21"/>
                <w:szCs w:val="21"/>
                <w:vertAlign w:val="superscript"/>
              </w:rPr>
              <w:t>th</w:t>
            </w:r>
            <w:r w:rsidRPr="00CA315A">
              <w:rPr>
                <w:noProof/>
                <w:sz w:val="21"/>
                <w:szCs w:val="21"/>
              </w:rPr>
              <w:t xml:space="preserve"> regime </w:t>
            </w:r>
            <w:r w:rsidRPr="007073AD">
              <w:rPr>
                <w:noProof/>
                <w:sz w:val="21"/>
                <w:szCs w:val="21"/>
              </w:rPr>
              <w:t>companies</w:t>
            </w:r>
            <w:r w:rsidRPr="00CA315A">
              <w:rPr>
                <w:noProof/>
                <w:sz w:val="21"/>
                <w:szCs w:val="21"/>
              </w:rPr>
              <w:t xml:space="preserve"> with harmonised </w:t>
            </w:r>
            <w:r w:rsidRPr="00CA315A" w:rsidDel="006F2A2E">
              <w:rPr>
                <w:noProof/>
                <w:sz w:val="21"/>
                <w:szCs w:val="21"/>
              </w:rPr>
              <w:t>bilingual templates (EN/national language)</w:t>
            </w:r>
            <w:r w:rsidRPr="00CA315A">
              <w:rPr>
                <w:noProof/>
                <w:sz w:val="21"/>
                <w:szCs w:val="21"/>
              </w:rPr>
              <w:t xml:space="preserve"> and preventive administrative, judicial or notarial control.</w:t>
            </w:r>
          </w:p>
          <w:p w14:paraId="7B4E37C9" w14:textId="1B21FE0E" w:rsidR="00AA6FBD" w:rsidRPr="00CA315A" w:rsidRDefault="00AA6FBD" w:rsidP="001238A1">
            <w:pPr>
              <w:tabs>
                <w:tab w:val="left" w:pos="170"/>
              </w:tabs>
              <w:spacing w:before="120" w:after="120"/>
              <w:rPr>
                <w:noProof/>
                <w:sz w:val="21"/>
                <w:szCs w:val="21"/>
              </w:rPr>
            </w:pPr>
            <w:r w:rsidRPr="00CA315A">
              <w:rPr>
                <w:b/>
                <w:bCs/>
                <w:noProof/>
                <w:sz w:val="21"/>
                <w:szCs w:val="21"/>
              </w:rPr>
              <w:t>Policy option 2b</w:t>
            </w:r>
            <w:r w:rsidRPr="00CA315A">
              <w:rPr>
                <w:noProof/>
                <w:sz w:val="21"/>
                <w:szCs w:val="21"/>
              </w:rPr>
              <w:t xml:space="preserve"> - Option 2a + introduce a deadline (48 hours) and cost ceiling of </w:t>
            </w:r>
            <w:r w:rsidR="00CE2FF4">
              <w:rPr>
                <w:noProof/>
                <w:sz w:val="21"/>
                <w:szCs w:val="21"/>
              </w:rPr>
              <w:t>EUR </w:t>
            </w:r>
            <w:r w:rsidRPr="00CA315A">
              <w:rPr>
                <w:noProof/>
                <w:sz w:val="21"/>
                <w:szCs w:val="21"/>
              </w:rPr>
              <w:t xml:space="preserve">100 to complete the registration including the preventive administrative, judicial or notarial control when the standardised template is used by founders as natural persons.  </w:t>
            </w:r>
          </w:p>
          <w:p w14:paraId="78F067EE" w14:textId="09FE1D07" w:rsidR="00AA6FBD" w:rsidRPr="00CA315A" w:rsidRDefault="00AA6FBD" w:rsidP="001238A1">
            <w:pPr>
              <w:tabs>
                <w:tab w:val="left" w:pos="170"/>
              </w:tabs>
              <w:spacing w:before="120" w:after="120"/>
              <w:rPr>
                <w:noProof/>
                <w:sz w:val="21"/>
                <w:szCs w:val="21"/>
              </w:rPr>
            </w:pPr>
            <w:r w:rsidRPr="00CA315A">
              <w:rPr>
                <w:b/>
                <w:bCs/>
                <w:noProof/>
                <w:sz w:val="21"/>
                <w:szCs w:val="21"/>
              </w:rPr>
              <w:t>Policy option 2c</w:t>
            </w:r>
            <w:r w:rsidRPr="00CA315A">
              <w:rPr>
                <w:noProof/>
                <w:sz w:val="21"/>
                <w:szCs w:val="21"/>
              </w:rPr>
              <w:t xml:space="preserve"> - As policy option 2b but with preventive control by judicial or administrative authorities (</w:t>
            </w:r>
            <w:r w:rsidR="00A602D3">
              <w:rPr>
                <w:noProof/>
                <w:sz w:val="21"/>
                <w:szCs w:val="21"/>
              </w:rPr>
              <w:t xml:space="preserve">but </w:t>
            </w:r>
            <w:r w:rsidRPr="00CA315A">
              <w:rPr>
                <w:noProof/>
                <w:sz w:val="21"/>
                <w:szCs w:val="21"/>
              </w:rPr>
              <w:t>excluding notaries) when the standardized template is used by founders as natural persons.</w:t>
            </w:r>
          </w:p>
        </w:tc>
        <w:tc>
          <w:tcPr>
            <w:tcW w:w="3634" w:type="dxa"/>
            <w:tcBorders>
              <w:left w:val="single" w:sz="4" w:space="0" w:color="auto"/>
              <w:right w:val="single" w:sz="4" w:space="0" w:color="auto"/>
            </w:tcBorders>
            <w:vAlign w:val="center"/>
          </w:tcPr>
          <w:p w14:paraId="271E54D1" w14:textId="47D3064B" w:rsidR="00AA6FBD" w:rsidRPr="007073AD" w:rsidRDefault="00AA6FBD" w:rsidP="00350C7C">
            <w:pPr>
              <w:tabs>
                <w:tab w:val="left" w:pos="170"/>
              </w:tabs>
              <w:spacing w:before="120" w:after="120"/>
              <w:jc w:val="left"/>
              <w:rPr>
                <w:noProof/>
                <w:sz w:val="21"/>
                <w:szCs w:val="21"/>
              </w:rPr>
            </w:pPr>
            <w:r w:rsidRPr="007073AD">
              <w:rPr>
                <w:noProof/>
                <w:sz w:val="21"/>
                <w:szCs w:val="21"/>
              </w:rPr>
              <w:t xml:space="preserve">Different national company legal forms and </w:t>
            </w:r>
            <w:r w:rsidR="00AA2529" w:rsidRPr="007073AD">
              <w:rPr>
                <w:noProof/>
                <w:sz w:val="21"/>
                <w:szCs w:val="21"/>
              </w:rPr>
              <w:t>lack</w:t>
            </w:r>
            <w:r w:rsidRPr="007073AD">
              <w:rPr>
                <w:noProof/>
                <w:sz w:val="21"/>
                <w:szCs w:val="21"/>
              </w:rPr>
              <w:t xml:space="preserve"> of </w:t>
            </w:r>
            <w:r w:rsidR="00AA2529" w:rsidRPr="007073AD">
              <w:rPr>
                <w:noProof/>
                <w:sz w:val="21"/>
                <w:szCs w:val="21"/>
              </w:rPr>
              <w:t>an</w:t>
            </w:r>
            <w:r w:rsidRPr="007073AD">
              <w:rPr>
                <w:noProof/>
                <w:sz w:val="21"/>
                <w:szCs w:val="21"/>
              </w:rPr>
              <w:t xml:space="preserve"> EU brand</w:t>
            </w:r>
            <w:r w:rsidR="009D4F22" w:rsidRPr="007073AD">
              <w:rPr>
                <w:noProof/>
                <w:sz w:val="21"/>
                <w:szCs w:val="21"/>
              </w:rPr>
              <w:t>.</w:t>
            </w:r>
          </w:p>
          <w:p w14:paraId="7E212BE9" w14:textId="6E6C2B84" w:rsidR="00AA6FBD" w:rsidRPr="007073AD" w:rsidRDefault="00AA6FBD" w:rsidP="00350C7C">
            <w:pPr>
              <w:tabs>
                <w:tab w:val="left" w:pos="170"/>
              </w:tabs>
              <w:spacing w:before="120" w:after="120"/>
              <w:rPr>
                <w:noProof/>
                <w:sz w:val="21"/>
                <w:szCs w:val="21"/>
              </w:rPr>
            </w:pPr>
            <w:r w:rsidRPr="007073AD">
              <w:rPr>
                <w:noProof/>
                <w:sz w:val="21"/>
                <w:szCs w:val="21"/>
              </w:rPr>
              <w:t xml:space="preserve">Insufficient availability of digital tools and procedures during </w:t>
            </w:r>
            <w:r w:rsidR="005D6646" w:rsidRPr="007073AD">
              <w:rPr>
                <w:noProof/>
                <w:sz w:val="21"/>
                <w:szCs w:val="21"/>
              </w:rPr>
              <w:t>company</w:t>
            </w:r>
            <w:r w:rsidRPr="007073AD">
              <w:rPr>
                <w:noProof/>
                <w:sz w:val="21"/>
                <w:szCs w:val="21"/>
              </w:rPr>
              <w:t xml:space="preserve"> set-up</w:t>
            </w:r>
            <w:r w:rsidR="009D4F22" w:rsidRPr="007073AD">
              <w:rPr>
                <w:noProof/>
                <w:sz w:val="21"/>
                <w:szCs w:val="21"/>
              </w:rPr>
              <w:t>.</w:t>
            </w:r>
          </w:p>
        </w:tc>
        <w:tc>
          <w:tcPr>
            <w:tcW w:w="3260" w:type="dxa"/>
            <w:tcBorders>
              <w:top w:val="single" w:sz="4" w:space="0" w:color="auto"/>
              <w:left w:val="single" w:sz="4" w:space="0" w:color="auto"/>
              <w:bottom w:val="single" w:sz="4" w:space="0" w:color="auto"/>
              <w:right w:val="single" w:sz="4" w:space="0" w:color="auto"/>
            </w:tcBorders>
            <w:vAlign w:val="center"/>
          </w:tcPr>
          <w:p w14:paraId="0F95B029" w14:textId="77777777" w:rsidR="008B1DFC" w:rsidRPr="007073AD" w:rsidRDefault="008B1DFC" w:rsidP="008B1DFC">
            <w:pPr>
              <w:tabs>
                <w:tab w:val="left" w:pos="170"/>
              </w:tabs>
              <w:spacing w:before="120" w:after="120"/>
              <w:rPr>
                <w:noProof/>
                <w:sz w:val="21"/>
                <w:szCs w:val="21"/>
              </w:rPr>
            </w:pPr>
            <w:r>
              <w:rPr>
                <w:noProof/>
                <w:sz w:val="21"/>
                <w:szCs w:val="21"/>
              </w:rPr>
              <w:t>Provide</w:t>
            </w:r>
            <w:r w:rsidRPr="007073AD">
              <w:rPr>
                <w:noProof/>
                <w:sz w:val="21"/>
                <w:szCs w:val="21"/>
              </w:rPr>
              <w:t xml:space="preserve"> a common corporate legal framework for </w:t>
            </w:r>
            <w:r>
              <w:rPr>
                <w:noProof/>
                <w:sz w:val="21"/>
                <w:szCs w:val="21"/>
              </w:rPr>
              <w:t xml:space="preserve">companies, in particular </w:t>
            </w:r>
            <w:r w:rsidRPr="007073AD">
              <w:rPr>
                <w:noProof/>
                <w:sz w:val="21"/>
                <w:szCs w:val="21"/>
              </w:rPr>
              <w:t>startups and scaleups</w:t>
            </w:r>
            <w:r>
              <w:rPr>
                <w:noProof/>
                <w:sz w:val="21"/>
                <w:szCs w:val="21"/>
              </w:rPr>
              <w:t>,</w:t>
            </w:r>
            <w:r w:rsidRPr="007073AD">
              <w:rPr>
                <w:noProof/>
                <w:sz w:val="21"/>
                <w:szCs w:val="21"/>
              </w:rPr>
              <w:t xml:space="preserve"> in the EU.</w:t>
            </w:r>
          </w:p>
          <w:p w14:paraId="65BE76A7" w14:textId="77777777" w:rsidR="008B1DFC" w:rsidRPr="007073AD" w:rsidRDefault="008B1DFC" w:rsidP="008B1DFC">
            <w:pPr>
              <w:tabs>
                <w:tab w:val="left" w:pos="170"/>
              </w:tabs>
              <w:spacing w:before="120" w:after="120"/>
              <w:rPr>
                <w:noProof/>
                <w:sz w:val="21"/>
                <w:szCs w:val="21"/>
              </w:rPr>
            </w:pPr>
            <w:r>
              <w:rPr>
                <w:noProof/>
                <w:sz w:val="21"/>
                <w:szCs w:val="21"/>
              </w:rPr>
              <w:t xml:space="preserve">Provide </w:t>
            </w:r>
            <w:r w:rsidRPr="007073AD">
              <w:rPr>
                <w:noProof/>
                <w:sz w:val="21"/>
                <w:szCs w:val="21"/>
              </w:rPr>
              <w:t xml:space="preserve">simple and efficient corporate rules and procedures throughout the </w:t>
            </w:r>
            <w:r>
              <w:rPr>
                <w:noProof/>
                <w:sz w:val="21"/>
                <w:szCs w:val="21"/>
              </w:rPr>
              <w:t xml:space="preserve">company </w:t>
            </w:r>
            <w:r w:rsidRPr="007073AD">
              <w:rPr>
                <w:noProof/>
                <w:sz w:val="21"/>
                <w:szCs w:val="21"/>
              </w:rPr>
              <w:t>lifecycle.</w:t>
            </w:r>
          </w:p>
          <w:p w14:paraId="319F8111" w14:textId="346D7216" w:rsidR="00AA6FBD" w:rsidRPr="007073AD" w:rsidRDefault="00AA6FBD" w:rsidP="00350C7C">
            <w:pPr>
              <w:tabs>
                <w:tab w:val="left" w:pos="170"/>
              </w:tabs>
              <w:spacing w:before="120" w:after="120"/>
              <w:rPr>
                <w:noProof/>
                <w:sz w:val="21"/>
                <w:szCs w:val="21"/>
              </w:rPr>
            </w:pPr>
          </w:p>
        </w:tc>
      </w:tr>
      <w:tr w:rsidR="005F732D" w:rsidRPr="00CA315A" w14:paraId="356F1D81" w14:textId="77777777" w:rsidTr="07E358E1">
        <w:trPr>
          <w:gridAfter w:val="1"/>
          <w:wAfter w:w="15" w:type="dxa"/>
          <w:cantSplit/>
          <w:trHeight w:val="744"/>
          <w:jc w:val="center"/>
        </w:trPr>
        <w:tc>
          <w:tcPr>
            <w:tcW w:w="6856" w:type="dxa"/>
            <w:tcBorders>
              <w:top w:val="single" w:sz="4" w:space="0" w:color="auto"/>
              <w:left w:val="single" w:sz="4" w:space="0" w:color="auto"/>
              <w:bottom w:val="single" w:sz="4" w:space="0" w:color="auto"/>
              <w:right w:val="single" w:sz="4" w:space="0" w:color="auto"/>
            </w:tcBorders>
            <w:vAlign w:val="center"/>
          </w:tcPr>
          <w:p w14:paraId="2E00FC1F" w14:textId="724E7DC8" w:rsidR="00AA6FBD" w:rsidRPr="00CA315A" w:rsidRDefault="00AA6FBD" w:rsidP="00350C7C">
            <w:pPr>
              <w:tabs>
                <w:tab w:val="left" w:pos="170"/>
              </w:tabs>
              <w:spacing w:before="120" w:after="120"/>
              <w:rPr>
                <w:noProof/>
                <w:sz w:val="21"/>
                <w:szCs w:val="21"/>
              </w:rPr>
            </w:pPr>
            <w:r w:rsidRPr="00CA315A">
              <w:rPr>
                <w:b/>
                <w:bCs/>
                <w:noProof/>
                <w:sz w:val="21"/>
                <w:szCs w:val="21"/>
              </w:rPr>
              <w:t>Policy option 3a</w:t>
            </w:r>
            <w:r w:rsidRPr="00CA315A">
              <w:rPr>
                <w:noProof/>
                <w:sz w:val="21"/>
                <w:szCs w:val="21"/>
              </w:rPr>
              <w:t xml:space="preserve"> – In the context of the company registration, ensure that the information about the company is transferred from the business register to the authority in charge of issuing the TIN, to </w:t>
            </w:r>
            <w:r w:rsidR="00A602D3">
              <w:rPr>
                <w:noProof/>
                <w:sz w:val="21"/>
                <w:szCs w:val="21"/>
              </w:rPr>
              <w:t xml:space="preserve">the </w:t>
            </w:r>
            <w:r w:rsidRPr="00CA315A">
              <w:rPr>
                <w:noProof/>
                <w:sz w:val="21"/>
                <w:szCs w:val="21"/>
              </w:rPr>
              <w:t>social security authority and to the beneficial ownership register, with any beneficial ownership information as part of the template, without the 28th regime company needing to submit it again (“once-only principle”).</w:t>
            </w:r>
          </w:p>
          <w:p w14:paraId="76D4FAFD" w14:textId="06AAE0D6" w:rsidR="00AA6FBD" w:rsidRPr="00CA315A" w:rsidRDefault="00AA6FBD" w:rsidP="00350C7C">
            <w:pPr>
              <w:tabs>
                <w:tab w:val="left" w:pos="170"/>
              </w:tabs>
              <w:spacing w:before="120" w:after="120"/>
              <w:rPr>
                <w:noProof/>
                <w:sz w:val="21"/>
                <w:szCs w:val="21"/>
              </w:rPr>
            </w:pPr>
            <w:r w:rsidRPr="00CA315A">
              <w:rPr>
                <w:b/>
                <w:bCs/>
                <w:noProof/>
                <w:sz w:val="21"/>
                <w:szCs w:val="21"/>
              </w:rPr>
              <w:t>Policy option 3b</w:t>
            </w:r>
            <w:r w:rsidRPr="00CA315A">
              <w:rPr>
                <w:noProof/>
                <w:sz w:val="21"/>
                <w:szCs w:val="21"/>
              </w:rPr>
              <w:t xml:space="preserve"> - Option 3a + the 28th regime company would obtain the TIN from the relevant authority</w:t>
            </w:r>
            <w:r w:rsidRPr="00CA315A">
              <w:rPr>
                <w:noProof/>
                <w:sz w:val="21"/>
                <w:szCs w:val="21"/>
              </w:rPr>
              <w:footnoteReference w:id="11"/>
            </w:r>
            <w:r w:rsidRPr="00CA315A">
              <w:rPr>
                <w:noProof/>
                <w:sz w:val="21"/>
                <w:szCs w:val="21"/>
              </w:rPr>
              <w:t xml:space="preserve"> as part of the registration process,</w:t>
            </w:r>
            <w:r w:rsidRPr="00CA315A" w:rsidDel="00765E1B">
              <w:rPr>
                <w:noProof/>
                <w:sz w:val="21"/>
                <w:szCs w:val="21"/>
              </w:rPr>
              <w:t xml:space="preserve"> with </w:t>
            </w:r>
            <w:r w:rsidRPr="00CA315A">
              <w:rPr>
                <w:noProof/>
                <w:sz w:val="21"/>
                <w:szCs w:val="21"/>
              </w:rPr>
              <w:t>any additional information needed to obtain</w:t>
            </w:r>
            <w:r w:rsidR="00B96FC7">
              <w:rPr>
                <w:noProof/>
                <w:sz w:val="21"/>
                <w:szCs w:val="21"/>
              </w:rPr>
              <w:t xml:space="preserve"> the</w:t>
            </w:r>
            <w:r w:rsidRPr="00CA315A" w:rsidDel="00C60843">
              <w:rPr>
                <w:noProof/>
                <w:sz w:val="21"/>
                <w:szCs w:val="21"/>
              </w:rPr>
              <w:t xml:space="preserve"> </w:t>
            </w:r>
            <w:r w:rsidRPr="00CA315A">
              <w:rPr>
                <w:noProof/>
                <w:sz w:val="21"/>
                <w:szCs w:val="21"/>
              </w:rPr>
              <w:t>TIN as part of the template.</w:t>
            </w:r>
          </w:p>
          <w:p w14:paraId="63ADB1EC" w14:textId="73D4F0F3" w:rsidR="00AA6FBD" w:rsidRPr="00CA315A" w:rsidRDefault="00AA6FBD" w:rsidP="001238A1">
            <w:pPr>
              <w:tabs>
                <w:tab w:val="left" w:pos="170"/>
              </w:tabs>
              <w:spacing w:before="120" w:after="120"/>
              <w:rPr>
                <w:noProof/>
                <w:sz w:val="21"/>
                <w:szCs w:val="21"/>
              </w:rPr>
            </w:pPr>
            <w:r w:rsidRPr="00CA315A">
              <w:rPr>
                <w:b/>
                <w:bCs/>
                <w:noProof/>
                <w:sz w:val="21"/>
                <w:szCs w:val="21"/>
              </w:rPr>
              <w:t>Policy option 3c</w:t>
            </w:r>
            <w:r w:rsidRPr="00CA315A">
              <w:rPr>
                <w:noProof/>
                <w:sz w:val="21"/>
                <w:szCs w:val="21"/>
              </w:rPr>
              <w:t xml:space="preserve"> - Option 3b + the 28th regime company would obtain the VAT identification number from the relevant</w:t>
            </w:r>
            <w:r w:rsidRPr="00CA315A" w:rsidDel="00256D95">
              <w:rPr>
                <w:noProof/>
                <w:sz w:val="21"/>
                <w:szCs w:val="21"/>
              </w:rPr>
              <w:t xml:space="preserve"> </w:t>
            </w:r>
            <w:r w:rsidRPr="00CA315A">
              <w:rPr>
                <w:noProof/>
                <w:sz w:val="21"/>
                <w:szCs w:val="21"/>
              </w:rPr>
              <w:t>authority as part of</w:t>
            </w:r>
            <w:r w:rsidRPr="00CA315A" w:rsidDel="00E2719A">
              <w:rPr>
                <w:noProof/>
                <w:sz w:val="21"/>
                <w:szCs w:val="21"/>
              </w:rPr>
              <w:t xml:space="preserve"> </w:t>
            </w:r>
            <w:r w:rsidRPr="00CA315A">
              <w:rPr>
                <w:noProof/>
                <w:sz w:val="21"/>
                <w:szCs w:val="21"/>
              </w:rPr>
              <w:t>the registration process (unless more information need</w:t>
            </w:r>
            <w:r w:rsidR="00B96FC7">
              <w:rPr>
                <w:noProof/>
                <w:sz w:val="21"/>
                <w:szCs w:val="21"/>
              </w:rPr>
              <w:t>s to be check</w:t>
            </w:r>
            <w:r w:rsidRPr="00CA315A">
              <w:rPr>
                <w:noProof/>
                <w:sz w:val="21"/>
                <w:szCs w:val="21"/>
              </w:rPr>
              <w:t>ed).</w:t>
            </w:r>
          </w:p>
        </w:tc>
        <w:tc>
          <w:tcPr>
            <w:tcW w:w="3634" w:type="dxa"/>
            <w:tcBorders>
              <w:left w:val="single" w:sz="4" w:space="0" w:color="auto"/>
              <w:right w:val="single" w:sz="4" w:space="0" w:color="auto"/>
            </w:tcBorders>
            <w:vAlign w:val="center"/>
          </w:tcPr>
          <w:p w14:paraId="12992A9F" w14:textId="03D088FC" w:rsidR="00AA6FBD" w:rsidRPr="007073AD" w:rsidRDefault="00AA6FBD" w:rsidP="00350C7C">
            <w:pPr>
              <w:tabs>
                <w:tab w:val="left" w:pos="170"/>
              </w:tabs>
              <w:spacing w:before="120" w:after="120"/>
              <w:jc w:val="left"/>
              <w:rPr>
                <w:noProof/>
                <w:sz w:val="21"/>
                <w:szCs w:val="21"/>
              </w:rPr>
            </w:pPr>
            <w:r w:rsidRPr="007073AD">
              <w:rPr>
                <w:noProof/>
                <w:sz w:val="21"/>
                <w:szCs w:val="21"/>
              </w:rPr>
              <w:t xml:space="preserve">Different national company legal forms and </w:t>
            </w:r>
            <w:r w:rsidR="00AA2529" w:rsidRPr="007073AD">
              <w:rPr>
                <w:noProof/>
                <w:sz w:val="21"/>
                <w:szCs w:val="21"/>
              </w:rPr>
              <w:t>lack</w:t>
            </w:r>
            <w:r w:rsidRPr="007073AD">
              <w:rPr>
                <w:noProof/>
                <w:sz w:val="21"/>
                <w:szCs w:val="21"/>
              </w:rPr>
              <w:t xml:space="preserve"> of </w:t>
            </w:r>
            <w:r w:rsidR="00AA2529" w:rsidRPr="007073AD">
              <w:rPr>
                <w:noProof/>
                <w:sz w:val="21"/>
                <w:szCs w:val="21"/>
              </w:rPr>
              <w:t>an</w:t>
            </w:r>
            <w:r w:rsidRPr="007073AD">
              <w:rPr>
                <w:noProof/>
                <w:sz w:val="21"/>
                <w:szCs w:val="21"/>
              </w:rPr>
              <w:t xml:space="preserve"> EU brand</w:t>
            </w:r>
            <w:r w:rsidR="009D4F22" w:rsidRPr="007073AD">
              <w:rPr>
                <w:noProof/>
                <w:sz w:val="21"/>
                <w:szCs w:val="21"/>
              </w:rPr>
              <w:t>.</w:t>
            </w:r>
          </w:p>
          <w:p w14:paraId="325C4763" w14:textId="0AB2EA4B" w:rsidR="00AA6FBD" w:rsidRPr="007073AD" w:rsidRDefault="00AA6FBD" w:rsidP="00350C7C">
            <w:pPr>
              <w:tabs>
                <w:tab w:val="left" w:pos="170"/>
              </w:tabs>
              <w:spacing w:before="120" w:after="120"/>
              <w:rPr>
                <w:noProof/>
                <w:sz w:val="21"/>
                <w:szCs w:val="21"/>
              </w:rPr>
            </w:pPr>
            <w:r w:rsidRPr="007073AD">
              <w:rPr>
                <w:noProof/>
                <w:sz w:val="21"/>
                <w:szCs w:val="21"/>
              </w:rPr>
              <w:t xml:space="preserve">Lack of </w:t>
            </w:r>
            <w:r w:rsidR="0027403E" w:rsidRPr="007073AD">
              <w:rPr>
                <w:noProof/>
                <w:sz w:val="21"/>
                <w:szCs w:val="21"/>
              </w:rPr>
              <w:t xml:space="preserve">implementation of </w:t>
            </w:r>
            <w:r w:rsidRPr="007073AD">
              <w:rPr>
                <w:noProof/>
                <w:sz w:val="21"/>
                <w:szCs w:val="21"/>
              </w:rPr>
              <w:t xml:space="preserve">the “once-only principle” </w:t>
            </w:r>
            <w:r w:rsidR="0027403E" w:rsidRPr="007073AD">
              <w:rPr>
                <w:noProof/>
                <w:sz w:val="21"/>
                <w:szCs w:val="21"/>
              </w:rPr>
              <w:t>for company</w:t>
            </w:r>
            <w:r w:rsidRPr="007073AD">
              <w:rPr>
                <w:noProof/>
                <w:sz w:val="21"/>
                <w:szCs w:val="21"/>
              </w:rPr>
              <w:t xml:space="preserve"> set</w:t>
            </w:r>
            <w:r w:rsidR="0027403E" w:rsidRPr="007073AD">
              <w:rPr>
                <w:noProof/>
                <w:sz w:val="21"/>
                <w:szCs w:val="21"/>
              </w:rPr>
              <w:t>-</w:t>
            </w:r>
            <w:r w:rsidRPr="007073AD">
              <w:rPr>
                <w:noProof/>
                <w:sz w:val="21"/>
                <w:szCs w:val="21"/>
              </w:rPr>
              <w:t>up</w:t>
            </w:r>
            <w:r w:rsidR="009D4F22" w:rsidRPr="007073AD">
              <w:rPr>
                <w:noProof/>
                <w:sz w:val="21"/>
                <w:szCs w:val="21"/>
              </w:rPr>
              <w:t>.</w:t>
            </w:r>
          </w:p>
        </w:tc>
        <w:tc>
          <w:tcPr>
            <w:tcW w:w="3260" w:type="dxa"/>
            <w:tcBorders>
              <w:top w:val="single" w:sz="4" w:space="0" w:color="auto"/>
              <w:left w:val="single" w:sz="4" w:space="0" w:color="auto"/>
              <w:bottom w:val="single" w:sz="4" w:space="0" w:color="auto"/>
              <w:right w:val="single" w:sz="4" w:space="0" w:color="auto"/>
            </w:tcBorders>
            <w:vAlign w:val="center"/>
          </w:tcPr>
          <w:p w14:paraId="02CCFE89" w14:textId="77777777" w:rsidR="008B1DFC" w:rsidRPr="007073AD" w:rsidRDefault="008B1DFC" w:rsidP="008B1DFC">
            <w:pPr>
              <w:tabs>
                <w:tab w:val="left" w:pos="170"/>
              </w:tabs>
              <w:spacing w:before="120" w:after="120"/>
              <w:rPr>
                <w:noProof/>
                <w:sz w:val="21"/>
                <w:szCs w:val="21"/>
              </w:rPr>
            </w:pPr>
            <w:r>
              <w:rPr>
                <w:noProof/>
                <w:sz w:val="21"/>
                <w:szCs w:val="21"/>
              </w:rPr>
              <w:t>Provide</w:t>
            </w:r>
            <w:r w:rsidRPr="007073AD">
              <w:rPr>
                <w:noProof/>
                <w:sz w:val="21"/>
                <w:szCs w:val="21"/>
              </w:rPr>
              <w:t xml:space="preserve"> a common corporate legal framework for </w:t>
            </w:r>
            <w:r>
              <w:rPr>
                <w:noProof/>
                <w:sz w:val="21"/>
                <w:szCs w:val="21"/>
              </w:rPr>
              <w:t xml:space="preserve">companies, in particular </w:t>
            </w:r>
            <w:r w:rsidRPr="007073AD">
              <w:rPr>
                <w:noProof/>
                <w:sz w:val="21"/>
                <w:szCs w:val="21"/>
              </w:rPr>
              <w:t>startups and scaleups</w:t>
            </w:r>
            <w:r>
              <w:rPr>
                <w:noProof/>
                <w:sz w:val="21"/>
                <w:szCs w:val="21"/>
              </w:rPr>
              <w:t>,</w:t>
            </w:r>
            <w:r w:rsidRPr="007073AD">
              <w:rPr>
                <w:noProof/>
                <w:sz w:val="21"/>
                <w:szCs w:val="21"/>
              </w:rPr>
              <w:t xml:space="preserve"> in the EU.</w:t>
            </w:r>
          </w:p>
          <w:p w14:paraId="15602E9A" w14:textId="77777777" w:rsidR="008B1DFC" w:rsidRPr="007073AD" w:rsidRDefault="008B1DFC" w:rsidP="008B1DFC">
            <w:pPr>
              <w:tabs>
                <w:tab w:val="left" w:pos="170"/>
              </w:tabs>
              <w:spacing w:before="120" w:after="120"/>
              <w:rPr>
                <w:noProof/>
                <w:sz w:val="21"/>
                <w:szCs w:val="21"/>
              </w:rPr>
            </w:pPr>
            <w:r>
              <w:rPr>
                <w:noProof/>
                <w:sz w:val="21"/>
                <w:szCs w:val="21"/>
              </w:rPr>
              <w:t xml:space="preserve">Provide </w:t>
            </w:r>
            <w:r w:rsidRPr="007073AD">
              <w:rPr>
                <w:noProof/>
                <w:sz w:val="21"/>
                <w:szCs w:val="21"/>
              </w:rPr>
              <w:t xml:space="preserve">simple and efficient corporate rules and procedures throughout the </w:t>
            </w:r>
            <w:r>
              <w:rPr>
                <w:noProof/>
                <w:sz w:val="21"/>
                <w:szCs w:val="21"/>
              </w:rPr>
              <w:t xml:space="preserve">company </w:t>
            </w:r>
            <w:r w:rsidRPr="007073AD">
              <w:rPr>
                <w:noProof/>
                <w:sz w:val="21"/>
                <w:szCs w:val="21"/>
              </w:rPr>
              <w:t>lifecycle.</w:t>
            </w:r>
          </w:p>
          <w:p w14:paraId="2FD47365" w14:textId="756DEE69" w:rsidR="00AA6FBD" w:rsidRPr="007073AD" w:rsidRDefault="00AA6FBD" w:rsidP="00350C7C">
            <w:pPr>
              <w:tabs>
                <w:tab w:val="left" w:pos="170"/>
              </w:tabs>
              <w:spacing w:before="120" w:after="120"/>
              <w:rPr>
                <w:noProof/>
                <w:sz w:val="21"/>
                <w:szCs w:val="21"/>
              </w:rPr>
            </w:pPr>
          </w:p>
        </w:tc>
      </w:tr>
      <w:tr w:rsidR="005F732D" w:rsidRPr="00CA315A" w14:paraId="4E457AB9" w14:textId="77777777" w:rsidTr="07E358E1">
        <w:trPr>
          <w:gridAfter w:val="1"/>
          <w:wAfter w:w="15" w:type="dxa"/>
          <w:cantSplit/>
          <w:trHeight w:val="744"/>
          <w:jc w:val="center"/>
        </w:trPr>
        <w:tc>
          <w:tcPr>
            <w:tcW w:w="6856" w:type="dxa"/>
            <w:tcBorders>
              <w:top w:val="single" w:sz="4" w:space="0" w:color="auto"/>
              <w:left w:val="single" w:sz="4" w:space="0" w:color="auto"/>
              <w:bottom w:val="single" w:sz="4" w:space="0" w:color="auto"/>
              <w:right w:val="single" w:sz="4" w:space="0" w:color="auto"/>
            </w:tcBorders>
            <w:vAlign w:val="center"/>
          </w:tcPr>
          <w:p w14:paraId="4D1324FA" w14:textId="13A63C7B" w:rsidR="00AA6FBD" w:rsidRPr="00CA315A" w:rsidRDefault="00AA6FBD" w:rsidP="00350C7C">
            <w:pPr>
              <w:tabs>
                <w:tab w:val="left" w:pos="170"/>
              </w:tabs>
              <w:spacing w:before="120" w:after="120"/>
              <w:rPr>
                <w:noProof/>
                <w:sz w:val="21"/>
                <w:szCs w:val="21"/>
              </w:rPr>
            </w:pPr>
            <w:r w:rsidRPr="00CA315A">
              <w:rPr>
                <w:b/>
                <w:bCs/>
                <w:noProof/>
                <w:sz w:val="21"/>
                <w:szCs w:val="21"/>
              </w:rPr>
              <w:t>Policy option 4a</w:t>
            </w:r>
            <w:r w:rsidRPr="00CA315A">
              <w:rPr>
                <w:noProof/>
                <w:sz w:val="21"/>
                <w:szCs w:val="21"/>
              </w:rPr>
              <w:t xml:space="preserve"> –– Ensure that all relevant filings by the liquidator for closure outside of insolvency are transferred from business register to other authorities (“once-only principle”) and online filing of claims from creditors</w:t>
            </w:r>
            <w:r w:rsidR="00C00F4E">
              <w:rPr>
                <w:noProof/>
                <w:sz w:val="21"/>
                <w:szCs w:val="21"/>
              </w:rPr>
              <w:t>.</w:t>
            </w:r>
          </w:p>
          <w:p w14:paraId="727E7165" w14:textId="2DC788DC" w:rsidR="00AA6FBD" w:rsidRPr="00CA315A" w:rsidRDefault="00AA6FBD" w:rsidP="001238A1">
            <w:pPr>
              <w:spacing w:before="120" w:after="120"/>
              <w:rPr>
                <w:noProof/>
                <w:sz w:val="21"/>
                <w:szCs w:val="21"/>
              </w:rPr>
            </w:pPr>
            <w:r w:rsidRPr="00CA315A">
              <w:rPr>
                <w:b/>
                <w:bCs/>
                <w:noProof/>
                <w:sz w:val="21"/>
                <w:szCs w:val="21"/>
              </w:rPr>
              <w:t>Policy option 4b</w:t>
            </w:r>
            <w:r w:rsidRPr="00CA315A">
              <w:rPr>
                <w:noProof/>
                <w:sz w:val="21"/>
                <w:szCs w:val="21"/>
              </w:rPr>
              <w:t xml:space="preserve"> - Option 4a + simplified liquidation procedure (outside of insolvency) for no assets/no debts to be concluded within a specific</w:t>
            </w:r>
            <w:r w:rsidR="00360FCA">
              <w:rPr>
                <w:noProof/>
                <w:sz w:val="21"/>
                <w:szCs w:val="21"/>
              </w:rPr>
              <w:t xml:space="preserve"> short</w:t>
            </w:r>
            <w:r w:rsidRPr="00CA315A">
              <w:rPr>
                <w:noProof/>
                <w:sz w:val="21"/>
                <w:szCs w:val="21"/>
              </w:rPr>
              <w:t xml:space="preserve"> deadline. </w:t>
            </w:r>
          </w:p>
          <w:p w14:paraId="77D12314" w14:textId="129AB36F" w:rsidR="00AA6FBD" w:rsidRPr="00CA315A" w:rsidRDefault="00AA6FBD" w:rsidP="001238A1">
            <w:pPr>
              <w:tabs>
                <w:tab w:val="left" w:pos="170"/>
              </w:tabs>
              <w:spacing w:before="120" w:after="120"/>
              <w:rPr>
                <w:noProof/>
                <w:sz w:val="21"/>
                <w:szCs w:val="21"/>
              </w:rPr>
            </w:pPr>
            <w:r w:rsidRPr="00CA315A">
              <w:rPr>
                <w:b/>
                <w:bCs/>
                <w:noProof/>
                <w:sz w:val="21"/>
                <w:szCs w:val="21"/>
              </w:rPr>
              <w:t>Policy option 4c</w:t>
            </w:r>
            <w:r w:rsidRPr="00CA315A">
              <w:rPr>
                <w:noProof/>
                <w:sz w:val="21"/>
                <w:szCs w:val="21"/>
              </w:rPr>
              <w:t xml:space="preserve"> - Option 4b + simplifi</w:t>
            </w:r>
            <w:r w:rsidR="00A14585">
              <w:rPr>
                <w:noProof/>
                <w:sz w:val="21"/>
                <w:szCs w:val="21"/>
              </w:rPr>
              <w:t>cation of</w:t>
            </w:r>
            <w:r w:rsidRPr="00CA315A" w:rsidDel="00E85B7F">
              <w:rPr>
                <w:noProof/>
                <w:sz w:val="21"/>
                <w:szCs w:val="21"/>
              </w:rPr>
              <w:t xml:space="preserve"> </w:t>
            </w:r>
            <w:r w:rsidRPr="00CA315A">
              <w:rPr>
                <w:noProof/>
                <w:sz w:val="21"/>
                <w:szCs w:val="21"/>
              </w:rPr>
              <w:t>insolvency procedure</w:t>
            </w:r>
            <w:r w:rsidR="00A14585">
              <w:rPr>
                <w:noProof/>
                <w:sz w:val="21"/>
                <w:szCs w:val="21"/>
              </w:rPr>
              <w:t>s thanks to their full digitalisation</w:t>
            </w:r>
            <w:r w:rsidRPr="00CA315A">
              <w:rPr>
                <w:noProof/>
                <w:sz w:val="21"/>
                <w:szCs w:val="21"/>
              </w:rPr>
              <w:t>.</w:t>
            </w:r>
          </w:p>
        </w:tc>
        <w:tc>
          <w:tcPr>
            <w:tcW w:w="3634" w:type="dxa"/>
            <w:tcBorders>
              <w:left w:val="single" w:sz="4" w:space="0" w:color="auto"/>
              <w:right w:val="single" w:sz="4" w:space="0" w:color="auto"/>
            </w:tcBorders>
            <w:vAlign w:val="center"/>
          </w:tcPr>
          <w:p w14:paraId="7419FE50" w14:textId="56E0952E" w:rsidR="00AA6FBD" w:rsidRPr="007073AD" w:rsidRDefault="00AA6FBD" w:rsidP="00350C7C">
            <w:pPr>
              <w:tabs>
                <w:tab w:val="left" w:pos="170"/>
              </w:tabs>
              <w:spacing w:before="120" w:after="120"/>
              <w:jc w:val="left"/>
              <w:rPr>
                <w:noProof/>
                <w:sz w:val="21"/>
                <w:szCs w:val="21"/>
              </w:rPr>
            </w:pPr>
            <w:r w:rsidRPr="007073AD">
              <w:rPr>
                <w:noProof/>
                <w:sz w:val="21"/>
                <w:szCs w:val="21"/>
              </w:rPr>
              <w:t xml:space="preserve">Different national company legal forms and </w:t>
            </w:r>
            <w:r w:rsidR="00AA2529" w:rsidRPr="007073AD">
              <w:rPr>
                <w:noProof/>
                <w:sz w:val="21"/>
                <w:szCs w:val="21"/>
              </w:rPr>
              <w:t>lack</w:t>
            </w:r>
            <w:r w:rsidRPr="007073AD">
              <w:rPr>
                <w:noProof/>
                <w:sz w:val="21"/>
                <w:szCs w:val="21"/>
              </w:rPr>
              <w:t xml:space="preserve"> of </w:t>
            </w:r>
            <w:r w:rsidR="00AA2529" w:rsidRPr="007073AD">
              <w:rPr>
                <w:noProof/>
                <w:sz w:val="21"/>
                <w:szCs w:val="21"/>
              </w:rPr>
              <w:t>an</w:t>
            </w:r>
            <w:r w:rsidRPr="007073AD">
              <w:rPr>
                <w:noProof/>
                <w:sz w:val="21"/>
                <w:szCs w:val="21"/>
              </w:rPr>
              <w:t xml:space="preserve"> EU brand</w:t>
            </w:r>
            <w:r w:rsidR="009D4F22" w:rsidRPr="007073AD">
              <w:rPr>
                <w:noProof/>
                <w:sz w:val="21"/>
                <w:szCs w:val="21"/>
              </w:rPr>
              <w:t>.</w:t>
            </w:r>
          </w:p>
          <w:p w14:paraId="1C766046" w14:textId="746A3F4A" w:rsidR="00AA6FBD" w:rsidRPr="007073AD" w:rsidRDefault="00AA6FBD" w:rsidP="001238A1">
            <w:pPr>
              <w:tabs>
                <w:tab w:val="left" w:pos="170"/>
              </w:tabs>
              <w:spacing w:before="120" w:after="120"/>
              <w:rPr>
                <w:noProof/>
                <w:sz w:val="21"/>
                <w:szCs w:val="21"/>
              </w:rPr>
            </w:pPr>
            <w:r w:rsidRPr="007073AD">
              <w:rPr>
                <w:noProof/>
                <w:sz w:val="21"/>
                <w:szCs w:val="21"/>
              </w:rPr>
              <w:t xml:space="preserve">Complex and paper-based procedures </w:t>
            </w:r>
            <w:r w:rsidR="00D95140" w:rsidRPr="007073AD">
              <w:rPr>
                <w:noProof/>
                <w:sz w:val="21"/>
                <w:szCs w:val="21"/>
              </w:rPr>
              <w:t>for closure</w:t>
            </w:r>
            <w:r w:rsidR="009D4F22" w:rsidRPr="007073AD">
              <w:rPr>
                <w:noProof/>
                <w:sz w:val="21"/>
                <w:szCs w:val="21"/>
              </w:rPr>
              <w:t>.</w:t>
            </w:r>
          </w:p>
        </w:tc>
        <w:tc>
          <w:tcPr>
            <w:tcW w:w="3260" w:type="dxa"/>
            <w:tcBorders>
              <w:top w:val="single" w:sz="4" w:space="0" w:color="auto"/>
              <w:left w:val="single" w:sz="4" w:space="0" w:color="auto"/>
              <w:bottom w:val="single" w:sz="4" w:space="0" w:color="auto"/>
              <w:right w:val="single" w:sz="4" w:space="0" w:color="auto"/>
            </w:tcBorders>
            <w:vAlign w:val="center"/>
          </w:tcPr>
          <w:p w14:paraId="67C36BA1" w14:textId="77777777" w:rsidR="008B1DFC" w:rsidRPr="007073AD" w:rsidRDefault="008B1DFC" w:rsidP="008B1DFC">
            <w:pPr>
              <w:tabs>
                <w:tab w:val="left" w:pos="170"/>
              </w:tabs>
              <w:spacing w:before="120" w:after="120"/>
              <w:rPr>
                <w:noProof/>
                <w:sz w:val="21"/>
                <w:szCs w:val="21"/>
              </w:rPr>
            </w:pPr>
            <w:r>
              <w:rPr>
                <w:noProof/>
                <w:sz w:val="21"/>
                <w:szCs w:val="21"/>
              </w:rPr>
              <w:t>Provide</w:t>
            </w:r>
            <w:r w:rsidRPr="007073AD">
              <w:rPr>
                <w:noProof/>
                <w:sz w:val="21"/>
                <w:szCs w:val="21"/>
              </w:rPr>
              <w:t xml:space="preserve"> a common corporate legal framework for </w:t>
            </w:r>
            <w:r>
              <w:rPr>
                <w:noProof/>
                <w:sz w:val="21"/>
                <w:szCs w:val="21"/>
              </w:rPr>
              <w:t xml:space="preserve">companies, in particular </w:t>
            </w:r>
            <w:r w:rsidRPr="007073AD">
              <w:rPr>
                <w:noProof/>
                <w:sz w:val="21"/>
                <w:szCs w:val="21"/>
              </w:rPr>
              <w:t>startups and scaleups</w:t>
            </w:r>
            <w:r>
              <w:rPr>
                <w:noProof/>
                <w:sz w:val="21"/>
                <w:szCs w:val="21"/>
              </w:rPr>
              <w:t>,</w:t>
            </w:r>
            <w:r w:rsidRPr="007073AD">
              <w:rPr>
                <w:noProof/>
                <w:sz w:val="21"/>
                <w:szCs w:val="21"/>
              </w:rPr>
              <w:t xml:space="preserve"> in the EU.</w:t>
            </w:r>
          </w:p>
          <w:p w14:paraId="41B1CB8B" w14:textId="77777777" w:rsidR="008B1DFC" w:rsidRPr="007073AD" w:rsidRDefault="008B1DFC" w:rsidP="008B1DFC">
            <w:pPr>
              <w:tabs>
                <w:tab w:val="left" w:pos="170"/>
              </w:tabs>
              <w:spacing w:before="120" w:after="120"/>
              <w:rPr>
                <w:noProof/>
                <w:sz w:val="21"/>
                <w:szCs w:val="21"/>
              </w:rPr>
            </w:pPr>
            <w:r>
              <w:rPr>
                <w:noProof/>
                <w:sz w:val="21"/>
                <w:szCs w:val="21"/>
              </w:rPr>
              <w:t xml:space="preserve">Provide </w:t>
            </w:r>
            <w:r w:rsidRPr="007073AD">
              <w:rPr>
                <w:noProof/>
                <w:sz w:val="21"/>
                <w:szCs w:val="21"/>
              </w:rPr>
              <w:t xml:space="preserve">simple and efficient corporate rules and procedures throughout the </w:t>
            </w:r>
            <w:r>
              <w:rPr>
                <w:noProof/>
                <w:sz w:val="21"/>
                <w:szCs w:val="21"/>
              </w:rPr>
              <w:t xml:space="preserve">company </w:t>
            </w:r>
            <w:r w:rsidRPr="007073AD">
              <w:rPr>
                <w:noProof/>
                <w:sz w:val="21"/>
                <w:szCs w:val="21"/>
              </w:rPr>
              <w:t>lifecycle.</w:t>
            </w:r>
          </w:p>
          <w:p w14:paraId="42D51736" w14:textId="4690F272" w:rsidR="00AA6FBD" w:rsidRPr="007073AD" w:rsidRDefault="00AA6FBD" w:rsidP="00350C7C">
            <w:pPr>
              <w:tabs>
                <w:tab w:val="left" w:pos="170"/>
              </w:tabs>
              <w:spacing w:before="120" w:after="120"/>
              <w:rPr>
                <w:noProof/>
                <w:sz w:val="21"/>
                <w:szCs w:val="21"/>
              </w:rPr>
            </w:pPr>
          </w:p>
        </w:tc>
      </w:tr>
      <w:tr w:rsidR="005F732D" w:rsidRPr="00CA315A" w14:paraId="6D2C3713" w14:textId="77777777" w:rsidTr="07E358E1">
        <w:trPr>
          <w:gridAfter w:val="1"/>
          <w:wAfter w:w="15" w:type="dxa"/>
          <w:cantSplit/>
          <w:trHeight w:val="2259"/>
          <w:jc w:val="center"/>
        </w:trPr>
        <w:tc>
          <w:tcPr>
            <w:tcW w:w="6856" w:type="dxa"/>
            <w:tcBorders>
              <w:top w:val="single" w:sz="4" w:space="0" w:color="auto"/>
              <w:left w:val="single" w:sz="4" w:space="0" w:color="auto"/>
              <w:bottom w:val="single" w:sz="4" w:space="0" w:color="auto"/>
              <w:right w:val="single" w:sz="4" w:space="0" w:color="auto"/>
            </w:tcBorders>
            <w:vAlign w:val="center"/>
          </w:tcPr>
          <w:p w14:paraId="004E8740" w14:textId="77777777" w:rsidR="00AA6FBD" w:rsidRPr="00CA315A" w:rsidRDefault="00AA6FBD" w:rsidP="001238A1">
            <w:pPr>
              <w:shd w:val="clear" w:color="auto" w:fill="FFFFFF" w:themeFill="background1"/>
              <w:spacing w:before="120" w:after="120"/>
              <w:rPr>
                <w:noProof/>
                <w:sz w:val="21"/>
                <w:szCs w:val="21"/>
              </w:rPr>
            </w:pPr>
            <w:r w:rsidRPr="00CA315A">
              <w:rPr>
                <w:b/>
                <w:bCs/>
                <w:noProof/>
                <w:sz w:val="21"/>
                <w:szCs w:val="21"/>
              </w:rPr>
              <w:t>Policy option 5a</w:t>
            </w:r>
            <w:r w:rsidRPr="00CA315A">
              <w:rPr>
                <w:noProof/>
                <w:sz w:val="21"/>
                <w:szCs w:val="21"/>
              </w:rPr>
              <w:t xml:space="preserve"> - Possibility for 28</w:t>
            </w:r>
            <w:r w:rsidRPr="00266F35">
              <w:rPr>
                <w:noProof/>
                <w:sz w:val="21"/>
                <w:szCs w:val="21"/>
                <w:vertAlign w:val="superscript"/>
              </w:rPr>
              <w:t>th</w:t>
            </w:r>
            <w:r w:rsidRPr="00CA315A">
              <w:rPr>
                <w:noProof/>
                <w:sz w:val="21"/>
                <w:szCs w:val="21"/>
              </w:rPr>
              <w:t xml:space="preserve"> regime companies to set up employee ownership plans (ESOPs) and issue classes of shares with distinct voting rights.</w:t>
            </w:r>
            <w:r w:rsidRPr="00CA315A" w:rsidDel="00150FB5">
              <w:rPr>
                <w:noProof/>
                <w:sz w:val="21"/>
                <w:szCs w:val="21"/>
              </w:rPr>
              <w:t xml:space="preserve"> </w:t>
            </w:r>
          </w:p>
          <w:p w14:paraId="5FA75C2B" w14:textId="09F11D0E" w:rsidR="00AA6FBD" w:rsidRPr="00CA315A" w:rsidRDefault="00AA6FBD" w:rsidP="00350C7C">
            <w:pPr>
              <w:tabs>
                <w:tab w:val="left" w:pos="170"/>
              </w:tabs>
              <w:spacing w:before="120" w:after="120"/>
              <w:rPr>
                <w:noProof/>
                <w:sz w:val="21"/>
                <w:szCs w:val="21"/>
              </w:rPr>
            </w:pPr>
            <w:r w:rsidRPr="00CA315A">
              <w:rPr>
                <w:b/>
                <w:bCs/>
                <w:noProof/>
                <w:sz w:val="21"/>
                <w:szCs w:val="21"/>
              </w:rPr>
              <w:t>Policy option 5b</w:t>
            </w:r>
            <w:r w:rsidRPr="00CA315A">
              <w:rPr>
                <w:noProof/>
                <w:sz w:val="21"/>
                <w:szCs w:val="21"/>
              </w:rPr>
              <w:t xml:space="preserve"> - Option 5a + introduce an optional common employee stock ownership scheme for 28</w:t>
            </w:r>
            <w:r w:rsidRPr="00266F35">
              <w:rPr>
                <w:noProof/>
                <w:sz w:val="21"/>
                <w:szCs w:val="21"/>
                <w:vertAlign w:val="superscript"/>
              </w:rPr>
              <w:t>th</w:t>
            </w:r>
            <w:r w:rsidRPr="00CA315A">
              <w:rPr>
                <w:noProof/>
                <w:sz w:val="21"/>
                <w:szCs w:val="21"/>
              </w:rPr>
              <w:t xml:space="preserve"> regime companies, based on employee stock options and with common criteria (‘EU-ESO’)</w:t>
            </w:r>
            <w:r w:rsidR="00BD7CBD">
              <w:rPr>
                <w:noProof/>
                <w:sz w:val="21"/>
                <w:szCs w:val="21"/>
              </w:rPr>
              <w:t>.</w:t>
            </w:r>
          </w:p>
          <w:p w14:paraId="3287C71F" w14:textId="77777777" w:rsidR="00AA6FBD" w:rsidRPr="00CA315A" w:rsidRDefault="00AA6FBD" w:rsidP="001238A1">
            <w:pPr>
              <w:tabs>
                <w:tab w:val="left" w:pos="170"/>
              </w:tabs>
              <w:spacing w:before="120" w:after="120"/>
              <w:rPr>
                <w:noProof/>
                <w:sz w:val="21"/>
                <w:szCs w:val="21"/>
              </w:rPr>
            </w:pPr>
            <w:r w:rsidRPr="00CA315A">
              <w:rPr>
                <w:b/>
                <w:bCs/>
                <w:noProof/>
                <w:sz w:val="21"/>
                <w:szCs w:val="21"/>
              </w:rPr>
              <w:t>Policy option 5c</w:t>
            </w:r>
            <w:r w:rsidRPr="00CA315A">
              <w:rPr>
                <w:noProof/>
                <w:sz w:val="21"/>
                <w:szCs w:val="21"/>
              </w:rPr>
              <w:t xml:space="preserve"> - Option 5b + provide harmonised timing for the taxation of employee stock options granted in the context of the EU-ESO.</w:t>
            </w:r>
          </w:p>
        </w:tc>
        <w:tc>
          <w:tcPr>
            <w:tcW w:w="3634" w:type="dxa"/>
            <w:tcBorders>
              <w:left w:val="single" w:sz="4" w:space="0" w:color="auto"/>
              <w:right w:val="single" w:sz="4" w:space="0" w:color="auto"/>
            </w:tcBorders>
            <w:vAlign w:val="center"/>
          </w:tcPr>
          <w:p w14:paraId="33FE95FF" w14:textId="2A04124D" w:rsidR="00AA6FBD" w:rsidRPr="007073AD" w:rsidRDefault="00AA6FBD" w:rsidP="00350C7C">
            <w:pPr>
              <w:tabs>
                <w:tab w:val="left" w:pos="170"/>
              </w:tabs>
              <w:spacing w:before="120" w:after="120"/>
              <w:jc w:val="left"/>
              <w:rPr>
                <w:noProof/>
                <w:sz w:val="21"/>
                <w:szCs w:val="21"/>
              </w:rPr>
            </w:pPr>
            <w:r w:rsidRPr="007073AD">
              <w:rPr>
                <w:noProof/>
                <w:sz w:val="21"/>
                <w:szCs w:val="21"/>
              </w:rPr>
              <w:t xml:space="preserve">Different national company legal forms and </w:t>
            </w:r>
            <w:r w:rsidR="00AA2529" w:rsidRPr="007073AD">
              <w:rPr>
                <w:noProof/>
                <w:sz w:val="21"/>
                <w:szCs w:val="21"/>
              </w:rPr>
              <w:t>lack</w:t>
            </w:r>
            <w:r w:rsidRPr="007073AD">
              <w:rPr>
                <w:noProof/>
                <w:sz w:val="21"/>
                <w:szCs w:val="21"/>
              </w:rPr>
              <w:t xml:space="preserve"> of </w:t>
            </w:r>
            <w:r w:rsidR="00AA2529" w:rsidRPr="007073AD">
              <w:rPr>
                <w:noProof/>
                <w:sz w:val="21"/>
                <w:szCs w:val="21"/>
              </w:rPr>
              <w:t>an</w:t>
            </w:r>
            <w:r w:rsidRPr="007073AD">
              <w:rPr>
                <w:noProof/>
                <w:sz w:val="21"/>
                <w:szCs w:val="21"/>
              </w:rPr>
              <w:t xml:space="preserve"> EU brand</w:t>
            </w:r>
            <w:r w:rsidR="009D4F22" w:rsidRPr="007073AD">
              <w:rPr>
                <w:noProof/>
                <w:sz w:val="21"/>
                <w:szCs w:val="21"/>
              </w:rPr>
              <w:t>.</w:t>
            </w:r>
          </w:p>
          <w:p w14:paraId="7E86E649" w14:textId="244E04A0" w:rsidR="00AA6FBD" w:rsidRPr="007073AD" w:rsidRDefault="00AA6FBD" w:rsidP="001238A1">
            <w:pPr>
              <w:tabs>
                <w:tab w:val="left" w:pos="170"/>
              </w:tabs>
              <w:spacing w:before="120" w:after="120"/>
              <w:rPr>
                <w:noProof/>
                <w:sz w:val="21"/>
                <w:szCs w:val="21"/>
              </w:rPr>
            </w:pPr>
            <w:r w:rsidRPr="007073AD">
              <w:rPr>
                <w:noProof/>
                <w:sz w:val="21"/>
                <w:szCs w:val="21"/>
              </w:rPr>
              <w:t xml:space="preserve">Lack of common rules for Employee Stock </w:t>
            </w:r>
            <w:r w:rsidRPr="00CA315A">
              <w:rPr>
                <w:noProof/>
                <w:sz w:val="21"/>
                <w:szCs w:val="21"/>
              </w:rPr>
              <w:t>Ownership</w:t>
            </w:r>
            <w:r w:rsidRPr="007073AD">
              <w:rPr>
                <w:noProof/>
                <w:sz w:val="21"/>
                <w:szCs w:val="21"/>
              </w:rPr>
              <w:t xml:space="preserve"> Plans</w:t>
            </w:r>
            <w:r w:rsidR="009D4F22" w:rsidRPr="007073AD">
              <w:rPr>
                <w:noProof/>
                <w:sz w:val="21"/>
                <w:szCs w:val="21"/>
              </w:rPr>
              <w:t>.</w:t>
            </w:r>
          </w:p>
        </w:tc>
        <w:tc>
          <w:tcPr>
            <w:tcW w:w="3260" w:type="dxa"/>
            <w:tcBorders>
              <w:top w:val="single" w:sz="4" w:space="0" w:color="auto"/>
              <w:left w:val="single" w:sz="4" w:space="0" w:color="auto"/>
              <w:bottom w:val="single" w:sz="4" w:space="0" w:color="auto"/>
              <w:right w:val="single" w:sz="4" w:space="0" w:color="auto"/>
            </w:tcBorders>
            <w:vAlign w:val="center"/>
          </w:tcPr>
          <w:p w14:paraId="1D654359" w14:textId="77777777" w:rsidR="008B1DFC" w:rsidRPr="007073AD" w:rsidRDefault="008B1DFC" w:rsidP="008B1DFC">
            <w:pPr>
              <w:tabs>
                <w:tab w:val="left" w:pos="170"/>
              </w:tabs>
              <w:spacing w:before="120" w:after="120"/>
              <w:rPr>
                <w:noProof/>
                <w:sz w:val="21"/>
                <w:szCs w:val="21"/>
              </w:rPr>
            </w:pPr>
            <w:r>
              <w:rPr>
                <w:noProof/>
                <w:sz w:val="21"/>
                <w:szCs w:val="21"/>
              </w:rPr>
              <w:t xml:space="preserve">Provide </w:t>
            </w:r>
            <w:r w:rsidRPr="007073AD">
              <w:rPr>
                <w:noProof/>
                <w:sz w:val="21"/>
                <w:szCs w:val="21"/>
              </w:rPr>
              <w:t xml:space="preserve">simple and efficient corporate rules and procedures throughout the </w:t>
            </w:r>
            <w:r>
              <w:rPr>
                <w:noProof/>
                <w:sz w:val="21"/>
                <w:szCs w:val="21"/>
              </w:rPr>
              <w:t xml:space="preserve">company </w:t>
            </w:r>
            <w:r w:rsidRPr="007073AD">
              <w:rPr>
                <w:noProof/>
                <w:sz w:val="21"/>
                <w:szCs w:val="21"/>
              </w:rPr>
              <w:t>lifecycle.</w:t>
            </w:r>
          </w:p>
          <w:p w14:paraId="6F5E2AD9" w14:textId="77777777" w:rsidR="00AA6FBD" w:rsidRPr="007073AD" w:rsidRDefault="00AA6FBD" w:rsidP="00350C7C">
            <w:pPr>
              <w:tabs>
                <w:tab w:val="left" w:pos="170"/>
              </w:tabs>
              <w:spacing w:before="120" w:after="120"/>
              <w:rPr>
                <w:noProof/>
                <w:sz w:val="21"/>
                <w:szCs w:val="21"/>
              </w:rPr>
            </w:pPr>
            <w:r w:rsidRPr="007073AD">
              <w:rPr>
                <w:noProof/>
                <w:sz w:val="21"/>
                <w:szCs w:val="21"/>
              </w:rPr>
              <w:t>Ensure that corporate rules provide an enabling framework to invest</w:t>
            </w:r>
          </w:p>
        </w:tc>
      </w:tr>
      <w:tr w:rsidR="005F732D" w:rsidRPr="00CA315A" w14:paraId="7D9A8EE0" w14:textId="77777777" w:rsidTr="07E358E1">
        <w:trPr>
          <w:gridAfter w:val="1"/>
          <w:wAfter w:w="15" w:type="dxa"/>
          <w:cantSplit/>
          <w:trHeight w:val="744"/>
          <w:jc w:val="center"/>
        </w:trPr>
        <w:tc>
          <w:tcPr>
            <w:tcW w:w="6856" w:type="dxa"/>
            <w:tcBorders>
              <w:top w:val="single" w:sz="4" w:space="0" w:color="auto"/>
              <w:left w:val="single" w:sz="4" w:space="0" w:color="auto"/>
              <w:bottom w:val="single" w:sz="4" w:space="0" w:color="auto"/>
              <w:right w:val="single" w:sz="4" w:space="0" w:color="auto"/>
            </w:tcBorders>
            <w:vAlign w:val="center"/>
          </w:tcPr>
          <w:p w14:paraId="03BD2A45" w14:textId="77777777" w:rsidR="00AA6FBD" w:rsidRPr="00CA315A" w:rsidRDefault="00AA6FBD" w:rsidP="00350C7C">
            <w:pPr>
              <w:tabs>
                <w:tab w:val="left" w:pos="170"/>
              </w:tabs>
              <w:spacing w:before="120" w:after="120"/>
              <w:rPr>
                <w:noProof/>
                <w:sz w:val="21"/>
                <w:szCs w:val="21"/>
              </w:rPr>
            </w:pPr>
            <w:r w:rsidRPr="00CA315A">
              <w:rPr>
                <w:b/>
                <w:bCs/>
                <w:noProof/>
                <w:sz w:val="21"/>
                <w:szCs w:val="21"/>
              </w:rPr>
              <w:t>Policy option 6a</w:t>
            </w:r>
            <w:r w:rsidRPr="00CA315A">
              <w:rPr>
                <w:noProof/>
                <w:sz w:val="21"/>
                <w:szCs w:val="21"/>
              </w:rPr>
              <w:t xml:space="preserve"> - Create a flexible governance system, provide simple and fully digital procedures for increasing capital and issuing shares and enable the use of modern early-stage financing instruments like SAFEs.</w:t>
            </w:r>
          </w:p>
          <w:p w14:paraId="0B0B3BFD" w14:textId="65752BA2" w:rsidR="00AA6FBD" w:rsidRPr="00CA315A" w:rsidRDefault="1989FBBA" w:rsidP="00350C7C">
            <w:pPr>
              <w:tabs>
                <w:tab w:val="left" w:pos="170"/>
              </w:tabs>
              <w:spacing w:before="120" w:after="120"/>
              <w:rPr>
                <w:noProof/>
                <w:sz w:val="21"/>
                <w:szCs w:val="21"/>
              </w:rPr>
            </w:pPr>
            <w:r w:rsidRPr="07E358E1">
              <w:rPr>
                <w:b/>
                <w:bCs/>
                <w:noProof/>
                <w:sz w:val="21"/>
                <w:szCs w:val="21"/>
              </w:rPr>
              <w:t>Policy option 6b</w:t>
            </w:r>
            <w:r w:rsidRPr="07E358E1">
              <w:rPr>
                <w:noProof/>
                <w:sz w:val="21"/>
                <w:szCs w:val="21"/>
              </w:rPr>
              <w:t xml:space="preserve"> - Option 6a + 0/</w:t>
            </w:r>
            <w:r w:rsidR="4D405139" w:rsidRPr="07E358E1">
              <w:rPr>
                <w:noProof/>
                <w:sz w:val="21"/>
                <w:szCs w:val="21"/>
              </w:rPr>
              <w:t>EUR</w:t>
            </w:r>
            <w:r w:rsidR="00C67457">
              <w:rPr>
                <w:noProof/>
                <w:sz w:val="21"/>
                <w:szCs w:val="21"/>
              </w:rPr>
              <w:t> </w:t>
            </w:r>
            <w:r w:rsidRPr="07E358E1">
              <w:rPr>
                <w:noProof/>
                <w:sz w:val="21"/>
                <w:szCs w:val="21"/>
              </w:rPr>
              <w:t>1 minimum capital but no paid-in share capital for incorporation of 28</w:t>
            </w:r>
            <w:r w:rsidRPr="00266F35">
              <w:rPr>
                <w:noProof/>
                <w:sz w:val="21"/>
                <w:szCs w:val="21"/>
                <w:vertAlign w:val="superscript"/>
              </w:rPr>
              <w:t>th</w:t>
            </w:r>
            <w:r w:rsidRPr="07E358E1">
              <w:rPr>
                <w:noProof/>
                <w:sz w:val="21"/>
                <w:szCs w:val="21"/>
              </w:rPr>
              <w:t xml:space="preserve"> regime companies and harmonised creditor protection safeguards in addition to capital maintenance rules</w:t>
            </w:r>
          </w:p>
          <w:p w14:paraId="4908FEC0" w14:textId="78652ACE" w:rsidR="00AA6FBD" w:rsidRPr="00CA315A" w:rsidRDefault="00AA6FBD" w:rsidP="001238A1">
            <w:pPr>
              <w:spacing w:before="120" w:after="120"/>
              <w:rPr>
                <w:noProof/>
                <w:sz w:val="21"/>
                <w:szCs w:val="21"/>
              </w:rPr>
            </w:pPr>
            <w:r w:rsidRPr="00CA315A">
              <w:rPr>
                <w:b/>
                <w:bCs/>
                <w:noProof/>
                <w:sz w:val="21"/>
                <w:szCs w:val="21"/>
              </w:rPr>
              <w:t>Policy option 6c</w:t>
            </w:r>
            <w:r w:rsidRPr="00CA315A">
              <w:rPr>
                <w:noProof/>
                <w:sz w:val="21"/>
                <w:szCs w:val="21"/>
              </w:rPr>
              <w:t xml:space="preserve"> - Option 6a + common minimum share capital of EUR</w:t>
            </w:r>
            <w:r w:rsidR="00C67457">
              <w:rPr>
                <w:noProof/>
                <w:sz w:val="21"/>
                <w:szCs w:val="21"/>
              </w:rPr>
              <w:t> </w:t>
            </w:r>
            <w:r w:rsidRPr="00CA315A">
              <w:rPr>
                <w:noProof/>
                <w:sz w:val="21"/>
                <w:szCs w:val="21"/>
              </w:rPr>
              <w:t>5</w:t>
            </w:r>
            <w:r w:rsidR="00FB0446">
              <w:rPr>
                <w:noProof/>
                <w:sz w:val="21"/>
                <w:szCs w:val="21"/>
              </w:rPr>
              <w:t> </w:t>
            </w:r>
            <w:r w:rsidRPr="00CA315A">
              <w:rPr>
                <w:noProof/>
                <w:sz w:val="21"/>
                <w:szCs w:val="21"/>
              </w:rPr>
              <w:t>000 for incorporation of 28</w:t>
            </w:r>
            <w:r w:rsidRPr="00266F35">
              <w:rPr>
                <w:noProof/>
                <w:sz w:val="21"/>
                <w:szCs w:val="21"/>
                <w:vertAlign w:val="superscript"/>
              </w:rPr>
              <w:t>th</w:t>
            </w:r>
            <w:r w:rsidRPr="00CA315A">
              <w:rPr>
                <w:noProof/>
                <w:sz w:val="21"/>
                <w:szCs w:val="21"/>
              </w:rPr>
              <w:t xml:space="preserve"> regime companies with harmonised creditor protection safeguards based primarily on capital maintenance.</w:t>
            </w:r>
          </w:p>
        </w:tc>
        <w:tc>
          <w:tcPr>
            <w:tcW w:w="3634" w:type="dxa"/>
            <w:tcBorders>
              <w:left w:val="single" w:sz="4" w:space="0" w:color="auto"/>
              <w:right w:val="single" w:sz="4" w:space="0" w:color="auto"/>
            </w:tcBorders>
            <w:vAlign w:val="center"/>
          </w:tcPr>
          <w:p w14:paraId="4B30360B" w14:textId="101AA6A9" w:rsidR="00AA6FBD" w:rsidRPr="007073AD" w:rsidRDefault="00AA6FBD" w:rsidP="00350C7C">
            <w:pPr>
              <w:tabs>
                <w:tab w:val="left" w:pos="170"/>
              </w:tabs>
              <w:spacing w:before="120" w:after="120"/>
              <w:jc w:val="left"/>
              <w:rPr>
                <w:noProof/>
                <w:sz w:val="21"/>
                <w:szCs w:val="21"/>
              </w:rPr>
            </w:pPr>
            <w:r w:rsidRPr="007073AD">
              <w:rPr>
                <w:noProof/>
                <w:sz w:val="21"/>
                <w:szCs w:val="21"/>
              </w:rPr>
              <w:t xml:space="preserve">Different national company legal forms and </w:t>
            </w:r>
            <w:r w:rsidR="00AA2529" w:rsidRPr="007073AD">
              <w:rPr>
                <w:noProof/>
                <w:sz w:val="21"/>
                <w:szCs w:val="21"/>
              </w:rPr>
              <w:t>lack</w:t>
            </w:r>
            <w:r w:rsidRPr="007073AD">
              <w:rPr>
                <w:noProof/>
                <w:sz w:val="21"/>
                <w:szCs w:val="21"/>
              </w:rPr>
              <w:t xml:space="preserve"> of </w:t>
            </w:r>
            <w:r w:rsidR="00AA2529" w:rsidRPr="007073AD">
              <w:rPr>
                <w:noProof/>
                <w:sz w:val="21"/>
                <w:szCs w:val="21"/>
              </w:rPr>
              <w:t>an</w:t>
            </w:r>
            <w:r w:rsidRPr="007073AD">
              <w:rPr>
                <w:noProof/>
                <w:sz w:val="21"/>
                <w:szCs w:val="21"/>
              </w:rPr>
              <w:t xml:space="preserve"> EU brand</w:t>
            </w:r>
            <w:r w:rsidR="009D4F22" w:rsidRPr="007073AD">
              <w:rPr>
                <w:noProof/>
                <w:sz w:val="21"/>
                <w:szCs w:val="21"/>
              </w:rPr>
              <w:t>.</w:t>
            </w:r>
          </w:p>
          <w:p w14:paraId="22E21581" w14:textId="2D9912F8" w:rsidR="00AA6FBD" w:rsidRPr="007073AD" w:rsidRDefault="00B57554" w:rsidP="00350C7C">
            <w:pPr>
              <w:tabs>
                <w:tab w:val="left" w:pos="170"/>
              </w:tabs>
              <w:spacing w:before="120" w:after="120"/>
              <w:rPr>
                <w:noProof/>
                <w:sz w:val="21"/>
                <w:szCs w:val="21"/>
              </w:rPr>
            </w:pPr>
            <w:r w:rsidRPr="007073AD">
              <w:rPr>
                <w:noProof/>
                <w:sz w:val="21"/>
                <w:szCs w:val="21"/>
              </w:rPr>
              <w:t>Burdensome procedures related to the articles of association or to shareholder meetings</w:t>
            </w:r>
            <w:r w:rsidR="009D4F22" w:rsidRPr="007073AD">
              <w:rPr>
                <w:noProof/>
                <w:sz w:val="21"/>
                <w:szCs w:val="21"/>
              </w:rPr>
              <w:t>.</w:t>
            </w:r>
          </w:p>
          <w:p w14:paraId="565FCCB4" w14:textId="309FCD63" w:rsidR="00AA6FBD" w:rsidRPr="007073AD" w:rsidRDefault="00AA6FBD" w:rsidP="00350C7C">
            <w:pPr>
              <w:tabs>
                <w:tab w:val="left" w:pos="170"/>
              </w:tabs>
              <w:spacing w:before="120" w:after="120"/>
              <w:rPr>
                <w:noProof/>
                <w:sz w:val="21"/>
                <w:szCs w:val="21"/>
              </w:rPr>
            </w:pPr>
            <w:r w:rsidRPr="007073AD">
              <w:rPr>
                <w:noProof/>
                <w:sz w:val="21"/>
                <w:szCs w:val="21"/>
              </w:rPr>
              <w:t>Divergent and non-digital national requirements related to capital increases</w:t>
            </w:r>
            <w:r w:rsidR="009D4F22" w:rsidRPr="007073AD">
              <w:rPr>
                <w:noProof/>
                <w:sz w:val="21"/>
                <w:szCs w:val="21"/>
              </w:rPr>
              <w:t>.</w:t>
            </w:r>
          </w:p>
          <w:p w14:paraId="343D033D" w14:textId="4CE7C2D7" w:rsidR="00AA6FBD" w:rsidRPr="007073AD" w:rsidRDefault="00AA6FBD" w:rsidP="001238A1">
            <w:pPr>
              <w:spacing w:before="120" w:after="120"/>
              <w:rPr>
                <w:noProof/>
                <w:sz w:val="21"/>
                <w:szCs w:val="21"/>
                <w:lang w:val="en-IE"/>
              </w:rPr>
            </w:pPr>
            <w:r w:rsidRPr="69CF4246">
              <w:rPr>
                <w:noProof/>
                <w:sz w:val="21"/>
                <w:szCs w:val="21"/>
                <w:lang w:val="en-IE"/>
              </w:rPr>
              <w:t xml:space="preserve">Legal uncertainty </w:t>
            </w:r>
            <w:r w:rsidR="00C74DC5" w:rsidRPr="69CF4246">
              <w:rPr>
                <w:noProof/>
                <w:sz w:val="21"/>
                <w:szCs w:val="21"/>
                <w:lang w:val="en-IE"/>
              </w:rPr>
              <w:t>regarding</w:t>
            </w:r>
            <w:r w:rsidRPr="69CF4246">
              <w:rPr>
                <w:noProof/>
                <w:sz w:val="21"/>
                <w:szCs w:val="21"/>
                <w:lang w:val="en-IE"/>
              </w:rPr>
              <w:t xml:space="preserve"> venture-capital driven clauses</w:t>
            </w:r>
            <w:r w:rsidR="009D4F22" w:rsidRPr="69CF4246">
              <w:rPr>
                <w:noProof/>
                <w:sz w:val="21"/>
                <w:szCs w:val="21"/>
                <w:lang w:val="en-IE"/>
              </w:rPr>
              <w:t>.</w:t>
            </w:r>
          </w:p>
          <w:p w14:paraId="23B1F994" w14:textId="3541704F" w:rsidR="00AA6FBD" w:rsidRPr="007073AD" w:rsidRDefault="00AA6FBD" w:rsidP="00350C7C">
            <w:pPr>
              <w:tabs>
                <w:tab w:val="left" w:pos="170"/>
              </w:tabs>
              <w:spacing w:before="120" w:after="120"/>
              <w:rPr>
                <w:noProof/>
                <w:sz w:val="21"/>
                <w:szCs w:val="21"/>
              </w:rPr>
            </w:pPr>
            <w:r w:rsidRPr="007073AD">
              <w:rPr>
                <w:noProof/>
                <w:sz w:val="21"/>
                <w:szCs w:val="21"/>
              </w:rPr>
              <w:t>Divergent minimum capital requirements</w:t>
            </w:r>
            <w:r w:rsidR="009D4F22" w:rsidRPr="007073AD">
              <w:rPr>
                <w:noProof/>
                <w:sz w:val="21"/>
                <w:szCs w:val="21"/>
              </w:rPr>
              <w:t>.</w:t>
            </w:r>
          </w:p>
        </w:tc>
        <w:tc>
          <w:tcPr>
            <w:tcW w:w="3260" w:type="dxa"/>
            <w:tcBorders>
              <w:top w:val="single" w:sz="4" w:space="0" w:color="auto"/>
              <w:left w:val="single" w:sz="4" w:space="0" w:color="auto"/>
              <w:bottom w:val="single" w:sz="4" w:space="0" w:color="auto"/>
              <w:right w:val="single" w:sz="4" w:space="0" w:color="auto"/>
            </w:tcBorders>
            <w:vAlign w:val="center"/>
          </w:tcPr>
          <w:p w14:paraId="05692F92" w14:textId="77777777" w:rsidR="008B1DFC" w:rsidRPr="007073AD" w:rsidRDefault="008B1DFC" w:rsidP="008B1DFC">
            <w:pPr>
              <w:tabs>
                <w:tab w:val="left" w:pos="170"/>
              </w:tabs>
              <w:spacing w:before="120" w:after="120"/>
              <w:rPr>
                <w:noProof/>
                <w:sz w:val="21"/>
                <w:szCs w:val="21"/>
              </w:rPr>
            </w:pPr>
            <w:r>
              <w:rPr>
                <w:noProof/>
                <w:sz w:val="21"/>
                <w:szCs w:val="21"/>
              </w:rPr>
              <w:t xml:space="preserve">Provide </w:t>
            </w:r>
            <w:r w:rsidRPr="007073AD">
              <w:rPr>
                <w:noProof/>
                <w:sz w:val="21"/>
                <w:szCs w:val="21"/>
              </w:rPr>
              <w:t xml:space="preserve">simple and efficient corporate rules and procedures throughout the </w:t>
            </w:r>
            <w:r>
              <w:rPr>
                <w:noProof/>
                <w:sz w:val="21"/>
                <w:szCs w:val="21"/>
              </w:rPr>
              <w:t xml:space="preserve">company </w:t>
            </w:r>
            <w:r w:rsidRPr="007073AD">
              <w:rPr>
                <w:noProof/>
                <w:sz w:val="21"/>
                <w:szCs w:val="21"/>
              </w:rPr>
              <w:t>lifecycle.</w:t>
            </w:r>
          </w:p>
          <w:p w14:paraId="40F4FA76" w14:textId="77777777" w:rsidR="00AA6FBD" w:rsidRPr="007073AD" w:rsidRDefault="00AA6FBD" w:rsidP="00350C7C">
            <w:pPr>
              <w:tabs>
                <w:tab w:val="left" w:pos="170"/>
              </w:tabs>
              <w:spacing w:before="120" w:after="120"/>
              <w:rPr>
                <w:noProof/>
                <w:sz w:val="21"/>
                <w:szCs w:val="21"/>
              </w:rPr>
            </w:pPr>
            <w:r w:rsidRPr="007073AD">
              <w:rPr>
                <w:noProof/>
                <w:sz w:val="21"/>
                <w:szCs w:val="21"/>
              </w:rPr>
              <w:t xml:space="preserve">Ensure that corporate rules provide an enabling framework to invest </w:t>
            </w:r>
          </w:p>
        </w:tc>
      </w:tr>
      <w:tr w:rsidR="005F732D" w:rsidRPr="00CA315A" w14:paraId="699AFD7F" w14:textId="77777777" w:rsidTr="07E358E1">
        <w:trPr>
          <w:gridAfter w:val="1"/>
          <w:wAfter w:w="15" w:type="dxa"/>
          <w:cantSplit/>
          <w:trHeight w:val="744"/>
          <w:jc w:val="center"/>
        </w:trPr>
        <w:tc>
          <w:tcPr>
            <w:tcW w:w="6856" w:type="dxa"/>
            <w:tcBorders>
              <w:top w:val="single" w:sz="4" w:space="0" w:color="auto"/>
              <w:left w:val="single" w:sz="4" w:space="0" w:color="auto"/>
              <w:bottom w:val="single" w:sz="4" w:space="0" w:color="auto"/>
              <w:right w:val="single" w:sz="4" w:space="0" w:color="auto"/>
            </w:tcBorders>
            <w:vAlign w:val="center"/>
          </w:tcPr>
          <w:p w14:paraId="62B82823" w14:textId="77777777" w:rsidR="00AA6FBD" w:rsidRPr="00CA315A" w:rsidRDefault="00AA6FBD" w:rsidP="00350C7C">
            <w:pPr>
              <w:tabs>
                <w:tab w:val="left" w:pos="170"/>
              </w:tabs>
              <w:spacing w:before="120" w:after="120"/>
              <w:rPr>
                <w:noProof/>
                <w:sz w:val="21"/>
                <w:szCs w:val="21"/>
              </w:rPr>
            </w:pPr>
            <w:r w:rsidRPr="00CA315A">
              <w:rPr>
                <w:b/>
                <w:bCs/>
                <w:noProof/>
                <w:sz w:val="21"/>
                <w:szCs w:val="21"/>
              </w:rPr>
              <w:t>Policy option 7a</w:t>
            </w:r>
            <w:r w:rsidRPr="00CA315A">
              <w:rPr>
                <w:noProof/>
                <w:sz w:val="21"/>
                <w:szCs w:val="21"/>
              </w:rPr>
              <w:t xml:space="preserve"> – Ensure that transfers of shares of 28</w:t>
            </w:r>
            <w:r w:rsidRPr="00CA315A">
              <w:rPr>
                <w:noProof/>
                <w:sz w:val="21"/>
                <w:szCs w:val="21"/>
                <w:vertAlign w:val="superscript"/>
              </w:rPr>
              <w:t>th</w:t>
            </w:r>
            <w:r w:rsidRPr="00CA315A">
              <w:rPr>
                <w:noProof/>
                <w:sz w:val="21"/>
                <w:szCs w:val="21"/>
              </w:rPr>
              <w:t xml:space="preserve"> regime companies can be carried out fully digitally.</w:t>
            </w:r>
          </w:p>
          <w:p w14:paraId="4DE8ACEB" w14:textId="77777777" w:rsidR="00AA6FBD" w:rsidRPr="00CA315A" w:rsidRDefault="00AA6FBD" w:rsidP="00350C7C">
            <w:pPr>
              <w:tabs>
                <w:tab w:val="left" w:pos="170"/>
              </w:tabs>
              <w:spacing w:before="120" w:after="120"/>
              <w:rPr>
                <w:noProof/>
                <w:sz w:val="21"/>
                <w:szCs w:val="21"/>
              </w:rPr>
            </w:pPr>
            <w:r w:rsidRPr="00CA315A">
              <w:rPr>
                <w:b/>
                <w:bCs/>
                <w:noProof/>
                <w:sz w:val="21"/>
                <w:szCs w:val="21"/>
              </w:rPr>
              <w:t>Policy option 7b</w:t>
            </w:r>
            <w:r w:rsidRPr="00CA315A">
              <w:rPr>
                <w:noProof/>
                <w:sz w:val="21"/>
                <w:szCs w:val="21"/>
              </w:rPr>
              <w:t xml:space="preserve"> - Option 7a + no requirement to involve intermediaries in share transfers of 28</w:t>
            </w:r>
            <w:r w:rsidRPr="00CA315A">
              <w:rPr>
                <w:noProof/>
                <w:sz w:val="21"/>
                <w:szCs w:val="21"/>
                <w:vertAlign w:val="superscript"/>
              </w:rPr>
              <w:t>th</w:t>
            </w:r>
            <w:r w:rsidRPr="00CA315A">
              <w:rPr>
                <w:noProof/>
                <w:sz w:val="21"/>
                <w:szCs w:val="21"/>
              </w:rPr>
              <w:t xml:space="preserve"> regime companies.</w:t>
            </w:r>
          </w:p>
          <w:p w14:paraId="723E83EB" w14:textId="77777777" w:rsidR="00AA6FBD" w:rsidRPr="00CA315A" w:rsidRDefault="00AA6FBD" w:rsidP="00350C7C">
            <w:pPr>
              <w:tabs>
                <w:tab w:val="left" w:pos="170"/>
              </w:tabs>
              <w:spacing w:before="120" w:after="120"/>
              <w:rPr>
                <w:noProof/>
                <w:sz w:val="21"/>
                <w:szCs w:val="21"/>
              </w:rPr>
            </w:pPr>
            <w:r w:rsidRPr="00CA315A">
              <w:rPr>
                <w:b/>
                <w:bCs/>
                <w:noProof/>
                <w:sz w:val="21"/>
                <w:szCs w:val="21"/>
              </w:rPr>
              <w:t>Policy option 7c</w:t>
            </w:r>
            <w:r w:rsidRPr="00CA315A">
              <w:rPr>
                <w:noProof/>
                <w:sz w:val="21"/>
                <w:szCs w:val="21"/>
              </w:rPr>
              <w:t xml:space="preserve"> - Option 7b + a possibility for Member States to grant access to public equity markets to 28</w:t>
            </w:r>
            <w:r w:rsidRPr="00CA315A">
              <w:rPr>
                <w:noProof/>
                <w:sz w:val="21"/>
                <w:szCs w:val="21"/>
                <w:vertAlign w:val="superscript"/>
              </w:rPr>
              <w:t>th</w:t>
            </w:r>
            <w:r w:rsidRPr="00CA315A">
              <w:rPr>
                <w:noProof/>
                <w:sz w:val="21"/>
                <w:szCs w:val="21"/>
              </w:rPr>
              <w:t xml:space="preserve"> regime companies.</w:t>
            </w:r>
          </w:p>
        </w:tc>
        <w:tc>
          <w:tcPr>
            <w:tcW w:w="3634" w:type="dxa"/>
            <w:tcBorders>
              <w:left w:val="single" w:sz="4" w:space="0" w:color="auto"/>
              <w:bottom w:val="single" w:sz="4" w:space="0" w:color="auto"/>
              <w:right w:val="single" w:sz="4" w:space="0" w:color="auto"/>
            </w:tcBorders>
            <w:vAlign w:val="center"/>
          </w:tcPr>
          <w:p w14:paraId="1950DE7A" w14:textId="782056A5" w:rsidR="00AA6FBD" w:rsidRPr="007073AD" w:rsidRDefault="00AA6FBD" w:rsidP="00350C7C">
            <w:pPr>
              <w:tabs>
                <w:tab w:val="left" w:pos="170"/>
              </w:tabs>
              <w:spacing w:before="120" w:after="120"/>
              <w:jc w:val="left"/>
              <w:rPr>
                <w:noProof/>
                <w:sz w:val="21"/>
                <w:szCs w:val="21"/>
              </w:rPr>
            </w:pPr>
            <w:r w:rsidRPr="007073AD">
              <w:rPr>
                <w:noProof/>
                <w:sz w:val="21"/>
                <w:szCs w:val="21"/>
              </w:rPr>
              <w:t xml:space="preserve">Different national company legal forms and </w:t>
            </w:r>
            <w:r w:rsidR="00AA2529" w:rsidRPr="007073AD">
              <w:rPr>
                <w:noProof/>
                <w:sz w:val="21"/>
                <w:szCs w:val="21"/>
              </w:rPr>
              <w:t>lack</w:t>
            </w:r>
            <w:r w:rsidRPr="007073AD">
              <w:rPr>
                <w:noProof/>
                <w:sz w:val="21"/>
                <w:szCs w:val="21"/>
              </w:rPr>
              <w:t xml:space="preserve"> of </w:t>
            </w:r>
            <w:r w:rsidR="00AA2529" w:rsidRPr="007073AD">
              <w:rPr>
                <w:noProof/>
                <w:sz w:val="21"/>
                <w:szCs w:val="21"/>
              </w:rPr>
              <w:t>an</w:t>
            </w:r>
            <w:r w:rsidRPr="007073AD">
              <w:rPr>
                <w:noProof/>
                <w:sz w:val="21"/>
                <w:szCs w:val="21"/>
              </w:rPr>
              <w:t xml:space="preserve"> EU brand</w:t>
            </w:r>
            <w:r w:rsidR="009D4F22" w:rsidRPr="007073AD">
              <w:rPr>
                <w:noProof/>
                <w:sz w:val="21"/>
                <w:szCs w:val="21"/>
              </w:rPr>
              <w:t>.</w:t>
            </w:r>
          </w:p>
          <w:p w14:paraId="3660FFFB" w14:textId="6F46E415" w:rsidR="00AA6FBD" w:rsidRPr="007073AD" w:rsidRDefault="00AA6FBD" w:rsidP="00350C7C">
            <w:pPr>
              <w:tabs>
                <w:tab w:val="left" w:pos="170"/>
              </w:tabs>
              <w:spacing w:before="120" w:after="120"/>
              <w:rPr>
                <w:noProof/>
                <w:sz w:val="21"/>
                <w:szCs w:val="21"/>
              </w:rPr>
            </w:pPr>
            <w:r w:rsidRPr="007073AD">
              <w:rPr>
                <w:noProof/>
                <w:sz w:val="21"/>
                <w:szCs w:val="21"/>
              </w:rPr>
              <w:t>Complex, uncertain or costly investor exit environment</w:t>
            </w:r>
            <w:r w:rsidR="009D4F22" w:rsidRPr="007073AD">
              <w:rPr>
                <w:noProof/>
                <w:sz w:val="21"/>
                <w:szCs w:val="21"/>
              </w:rPr>
              <w:t>.</w:t>
            </w:r>
          </w:p>
        </w:tc>
        <w:tc>
          <w:tcPr>
            <w:tcW w:w="3260" w:type="dxa"/>
            <w:tcBorders>
              <w:top w:val="single" w:sz="4" w:space="0" w:color="auto"/>
              <w:left w:val="single" w:sz="4" w:space="0" w:color="auto"/>
              <w:bottom w:val="single" w:sz="4" w:space="0" w:color="auto"/>
              <w:right w:val="single" w:sz="4" w:space="0" w:color="auto"/>
            </w:tcBorders>
            <w:vAlign w:val="center"/>
          </w:tcPr>
          <w:p w14:paraId="77131909" w14:textId="77777777" w:rsidR="008B1DFC" w:rsidRPr="007073AD" w:rsidRDefault="008B1DFC" w:rsidP="008B1DFC">
            <w:pPr>
              <w:tabs>
                <w:tab w:val="left" w:pos="170"/>
              </w:tabs>
              <w:spacing w:before="120" w:after="120"/>
              <w:rPr>
                <w:noProof/>
                <w:sz w:val="21"/>
                <w:szCs w:val="21"/>
              </w:rPr>
            </w:pPr>
            <w:r>
              <w:rPr>
                <w:noProof/>
                <w:sz w:val="21"/>
                <w:szCs w:val="21"/>
              </w:rPr>
              <w:t xml:space="preserve">Provide </w:t>
            </w:r>
            <w:r w:rsidRPr="007073AD">
              <w:rPr>
                <w:noProof/>
                <w:sz w:val="21"/>
                <w:szCs w:val="21"/>
              </w:rPr>
              <w:t xml:space="preserve">simple and efficient corporate rules and procedures throughout the </w:t>
            </w:r>
            <w:r>
              <w:rPr>
                <w:noProof/>
                <w:sz w:val="21"/>
                <w:szCs w:val="21"/>
              </w:rPr>
              <w:t xml:space="preserve">company </w:t>
            </w:r>
            <w:r w:rsidRPr="007073AD">
              <w:rPr>
                <w:noProof/>
                <w:sz w:val="21"/>
                <w:szCs w:val="21"/>
              </w:rPr>
              <w:t>lifecycle.</w:t>
            </w:r>
          </w:p>
          <w:p w14:paraId="36BC9001" w14:textId="77777777" w:rsidR="00AA6FBD" w:rsidRPr="007073AD" w:rsidRDefault="00AA6FBD" w:rsidP="00350C7C">
            <w:pPr>
              <w:tabs>
                <w:tab w:val="left" w:pos="170"/>
              </w:tabs>
              <w:spacing w:before="120" w:after="120"/>
              <w:rPr>
                <w:noProof/>
                <w:sz w:val="21"/>
                <w:szCs w:val="21"/>
              </w:rPr>
            </w:pPr>
            <w:r w:rsidRPr="007073AD">
              <w:rPr>
                <w:noProof/>
                <w:sz w:val="21"/>
                <w:szCs w:val="21"/>
              </w:rPr>
              <w:t xml:space="preserve">Ensure that corporate rules provide an enabling framework to invest </w:t>
            </w:r>
          </w:p>
        </w:tc>
      </w:tr>
    </w:tbl>
    <w:p w14:paraId="7955A6FE" w14:textId="77777777" w:rsidR="003A18E7" w:rsidRPr="003A18E7" w:rsidRDefault="003A18E7" w:rsidP="003A18E7">
      <w:pPr>
        <w:rPr>
          <w:noProof/>
        </w:rPr>
        <w:sectPr w:rsidR="003A18E7" w:rsidRPr="003A18E7" w:rsidSect="00B760A3">
          <w:headerReference w:type="default" r:id="rId30"/>
          <w:footerReference w:type="default" r:id="rId31"/>
          <w:headerReference w:type="first" r:id="rId32"/>
          <w:footerReference w:type="first" r:id="rId33"/>
          <w:pgSz w:w="16838" w:h="11906" w:orient="landscape"/>
          <w:pgMar w:top="1588" w:right="1021" w:bottom="1701" w:left="1021" w:header="601" w:footer="1077" w:gutter="0"/>
          <w:cols w:space="720"/>
          <w:titlePg/>
        </w:sectPr>
      </w:pPr>
    </w:p>
    <w:p w14:paraId="40FF22FA" w14:textId="37DE19E0" w:rsidR="00004441" w:rsidRPr="007073AD" w:rsidRDefault="00004441" w:rsidP="00004441">
      <w:pPr>
        <w:pStyle w:val="AnnexTitle"/>
        <w:rPr>
          <w:noProof/>
          <w:lang w:val="en-IE"/>
        </w:rPr>
      </w:pPr>
      <w:bookmarkStart w:id="34" w:name="_Toc219390731"/>
      <w:r w:rsidRPr="007073AD">
        <w:rPr>
          <w:noProof/>
          <w:lang w:val="en-IE"/>
        </w:rPr>
        <w:t>Annex 8: Number of companies</w:t>
      </w:r>
      <w:bookmarkEnd w:id="34"/>
    </w:p>
    <w:p w14:paraId="37C6C74F" w14:textId="7D78C6D8" w:rsidR="00DF34D1" w:rsidRDefault="00DF34D1" w:rsidP="00DF34D1">
      <w:pPr>
        <w:spacing w:after="0"/>
        <w:rPr>
          <w:noProof/>
        </w:rPr>
      </w:pPr>
      <w:r>
        <w:rPr>
          <w:noProof/>
        </w:rPr>
        <w:t>To estimate the uptake of the 28</w:t>
      </w:r>
      <w:r w:rsidRPr="00761D2C">
        <w:rPr>
          <w:noProof/>
          <w:vertAlign w:val="superscript"/>
        </w:rPr>
        <w:t>th</w:t>
      </w:r>
      <w:r>
        <w:rPr>
          <w:noProof/>
        </w:rPr>
        <w:t xml:space="preserve"> regime companies, the number of private limited liability companies (LLCs) in the EU was used. The calculations are based on data from the business registers: a) 2022 business register data as presented in the Impact assessment report accompanying the proposal on Upgrading Digital Company Law</w:t>
      </w:r>
      <w:r>
        <w:rPr>
          <w:rStyle w:val="FootnoteReference"/>
          <w:noProof/>
        </w:rPr>
        <w:footnoteReference w:id="12"/>
      </w:r>
      <w:r>
        <w:rPr>
          <w:noProof/>
        </w:rPr>
        <w:t>; b) Up-to-date b</w:t>
      </w:r>
      <w:r w:rsidRPr="00C81D65">
        <w:rPr>
          <w:noProof/>
        </w:rPr>
        <w:t xml:space="preserve">usiness register </w:t>
      </w:r>
      <w:r>
        <w:rPr>
          <w:noProof/>
        </w:rPr>
        <w:t xml:space="preserve">data (2025) from the </w:t>
      </w:r>
      <w:r w:rsidRPr="00C81D65">
        <w:rPr>
          <w:noProof/>
        </w:rPr>
        <w:t>Business Registers Interconnection System (BRIS)</w:t>
      </w:r>
      <w:r>
        <w:rPr>
          <w:noProof/>
        </w:rPr>
        <w:t>.</w:t>
      </w:r>
    </w:p>
    <w:p w14:paraId="481EECDE" w14:textId="77777777" w:rsidR="009C428D" w:rsidRDefault="009C428D" w:rsidP="00DF34D1">
      <w:pPr>
        <w:spacing w:after="0"/>
        <w:rPr>
          <w:noProof/>
        </w:rPr>
      </w:pPr>
    </w:p>
    <w:p w14:paraId="5FD90521" w14:textId="17903AD2" w:rsidR="00DF34D1" w:rsidRPr="00A80756" w:rsidRDefault="00DF34D1" w:rsidP="00DF34D1">
      <w:pPr>
        <w:tabs>
          <w:tab w:val="left" w:pos="170"/>
        </w:tabs>
        <w:rPr>
          <w:noProof/>
          <w:szCs w:val="20"/>
        </w:rPr>
      </w:pPr>
      <w:r>
        <w:rPr>
          <w:noProof/>
        </w:rPr>
        <w:t xml:space="preserve">The table below shows the evolution over the past 3 years until the beginning of 2025. </w:t>
      </w:r>
      <w:r>
        <w:rPr>
          <w:noProof/>
          <w:szCs w:val="20"/>
        </w:rPr>
        <w:t>In the EU-27, t</w:t>
      </w:r>
      <w:r w:rsidRPr="00A80756">
        <w:rPr>
          <w:noProof/>
          <w:szCs w:val="20"/>
        </w:rPr>
        <w:t>here were 15.2 million private LLCs in 2022 and 17.2 million in 2025. Thus, the EU average net growth of LLCs is approximately 668</w:t>
      </w:r>
      <w:r w:rsidR="00266F35">
        <w:rPr>
          <w:noProof/>
          <w:szCs w:val="20"/>
        </w:rPr>
        <w:t> </w:t>
      </w:r>
      <w:r w:rsidRPr="00A80756">
        <w:rPr>
          <w:noProof/>
          <w:szCs w:val="20"/>
        </w:rPr>
        <w:t xml:space="preserve">000 companies per year. </w:t>
      </w:r>
    </w:p>
    <w:tbl>
      <w:tblPr>
        <w:tblW w:w="9346" w:type="dxa"/>
        <w:jc w:val="center"/>
        <w:tblLayout w:type="fixed"/>
        <w:tblLook w:val="04A0" w:firstRow="1" w:lastRow="0" w:firstColumn="1" w:lastColumn="0" w:noHBand="0" w:noVBand="1"/>
      </w:tblPr>
      <w:tblGrid>
        <w:gridCol w:w="1110"/>
        <w:gridCol w:w="2566"/>
        <w:gridCol w:w="2431"/>
        <w:gridCol w:w="1538"/>
        <w:gridCol w:w="1701"/>
      </w:tblGrid>
      <w:tr w:rsidR="00DF34D1" w:rsidRPr="001B3326" w14:paraId="2AD40F40" w14:textId="77777777" w:rsidTr="00432FAC">
        <w:trPr>
          <w:trHeight w:val="310"/>
          <w:jc w:val="center"/>
        </w:trPr>
        <w:tc>
          <w:tcPr>
            <w:tcW w:w="1110" w:type="dxa"/>
            <w:tcBorders>
              <w:top w:val="single" w:sz="8" w:space="0" w:color="auto"/>
              <w:left w:val="single" w:sz="8" w:space="0" w:color="auto"/>
              <w:bottom w:val="single" w:sz="8" w:space="0" w:color="auto"/>
              <w:right w:val="single" w:sz="8" w:space="0" w:color="auto"/>
            </w:tcBorders>
            <w:vAlign w:val="center"/>
            <w:hideMark/>
          </w:tcPr>
          <w:p w14:paraId="23A69E41" w14:textId="77777777" w:rsidR="00DF34D1" w:rsidRPr="007073AD" w:rsidRDefault="00DF34D1" w:rsidP="00432FAC">
            <w:pPr>
              <w:spacing w:after="0"/>
              <w:rPr>
                <w:rFonts w:eastAsia="Times New Roman"/>
                <w:noProof/>
                <w:color w:val="000000"/>
                <w:sz w:val="16"/>
                <w:szCs w:val="16"/>
                <w:lang w:eastAsia="en-IE"/>
              </w:rPr>
            </w:pPr>
            <w:r w:rsidRPr="007073AD">
              <w:rPr>
                <w:rFonts w:eastAsia="Times New Roman"/>
                <w:noProof/>
                <w:color w:val="000000"/>
                <w:sz w:val="16"/>
                <w:szCs w:val="16"/>
                <w:lang w:eastAsia="en-IE"/>
              </w:rPr>
              <w:t> </w:t>
            </w:r>
          </w:p>
        </w:tc>
        <w:tc>
          <w:tcPr>
            <w:tcW w:w="8236" w:type="dxa"/>
            <w:gridSpan w:val="4"/>
            <w:tcBorders>
              <w:top w:val="single" w:sz="8" w:space="0" w:color="auto"/>
              <w:left w:val="nil"/>
              <w:bottom w:val="single" w:sz="8" w:space="0" w:color="auto"/>
              <w:right w:val="nil"/>
            </w:tcBorders>
          </w:tcPr>
          <w:p w14:paraId="4A11E03B" w14:textId="77777777" w:rsidR="00DF34D1" w:rsidRPr="007073AD" w:rsidRDefault="00DF34D1" w:rsidP="00432FAC">
            <w:pPr>
              <w:spacing w:after="0"/>
              <w:jc w:val="center"/>
              <w:rPr>
                <w:rFonts w:eastAsia="Times New Roman"/>
                <w:b/>
                <w:noProof/>
                <w:color w:val="000000"/>
                <w:lang w:eastAsia="en-IE"/>
              </w:rPr>
            </w:pPr>
            <w:r w:rsidRPr="007073AD">
              <w:rPr>
                <w:rFonts w:eastAsia="Times New Roman"/>
                <w:b/>
                <w:noProof/>
                <w:color w:val="000000"/>
                <w:lang w:eastAsia="en-IE"/>
              </w:rPr>
              <w:t>Number of private limited liability companies (LLCs)</w:t>
            </w:r>
          </w:p>
        </w:tc>
      </w:tr>
      <w:tr w:rsidR="00DF34D1" w:rsidRPr="001B3326" w14:paraId="358674FB" w14:textId="77777777" w:rsidTr="00432FAC">
        <w:trPr>
          <w:trHeight w:val="1394"/>
          <w:jc w:val="center"/>
        </w:trPr>
        <w:tc>
          <w:tcPr>
            <w:tcW w:w="1110" w:type="dxa"/>
            <w:tcBorders>
              <w:top w:val="nil"/>
              <w:left w:val="single" w:sz="8" w:space="0" w:color="auto"/>
              <w:bottom w:val="single" w:sz="8" w:space="0" w:color="000000" w:themeColor="text1"/>
              <w:right w:val="single" w:sz="8" w:space="0" w:color="auto"/>
            </w:tcBorders>
            <w:vAlign w:val="center"/>
            <w:hideMark/>
          </w:tcPr>
          <w:p w14:paraId="2459DF98"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Member State</w:t>
            </w:r>
          </w:p>
        </w:tc>
        <w:tc>
          <w:tcPr>
            <w:tcW w:w="2566" w:type="dxa"/>
            <w:tcBorders>
              <w:top w:val="nil"/>
              <w:left w:val="single" w:sz="8" w:space="0" w:color="auto"/>
              <w:bottom w:val="single" w:sz="8" w:space="0" w:color="000000" w:themeColor="text1"/>
              <w:right w:val="single" w:sz="8" w:space="0" w:color="auto"/>
            </w:tcBorders>
            <w:vAlign w:val="center"/>
            <w:hideMark/>
          </w:tcPr>
          <w:p w14:paraId="26E39FCA" w14:textId="77777777" w:rsidR="00DF34D1" w:rsidRPr="007073AD" w:rsidRDefault="00DF34D1" w:rsidP="00432FAC">
            <w:pPr>
              <w:spacing w:after="0"/>
              <w:jc w:val="left"/>
              <w:rPr>
                <w:rFonts w:eastAsia="Times New Roman"/>
                <w:b/>
                <w:noProof/>
                <w:color w:val="000000"/>
                <w:lang w:eastAsia="en-IE"/>
              </w:rPr>
            </w:pPr>
            <w:r w:rsidRPr="007073AD">
              <w:rPr>
                <w:rFonts w:eastAsia="Times New Roman"/>
                <w:b/>
                <w:noProof/>
                <w:color w:val="000000"/>
                <w:lang w:eastAsia="en-IE"/>
              </w:rPr>
              <w:t>Business Registers 2022</w:t>
            </w:r>
          </w:p>
        </w:tc>
        <w:tc>
          <w:tcPr>
            <w:tcW w:w="2431" w:type="dxa"/>
            <w:tcBorders>
              <w:top w:val="nil"/>
              <w:left w:val="single" w:sz="8" w:space="0" w:color="auto"/>
              <w:bottom w:val="single" w:sz="8" w:space="0" w:color="000000" w:themeColor="text1"/>
              <w:right w:val="single" w:sz="8" w:space="0" w:color="auto"/>
            </w:tcBorders>
            <w:vAlign w:val="center"/>
            <w:hideMark/>
          </w:tcPr>
          <w:p w14:paraId="0575CC7F" w14:textId="77777777" w:rsidR="00DF34D1" w:rsidRPr="007073AD" w:rsidRDefault="00DF34D1" w:rsidP="00432FAC">
            <w:pPr>
              <w:spacing w:after="0"/>
              <w:jc w:val="left"/>
              <w:rPr>
                <w:rFonts w:eastAsia="Times New Roman"/>
                <w:b/>
                <w:noProof/>
                <w:color w:val="000000"/>
                <w:lang w:eastAsia="en-IE"/>
              </w:rPr>
            </w:pPr>
            <w:r w:rsidRPr="007073AD">
              <w:rPr>
                <w:rFonts w:eastAsia="Times New Roman"/>
                <w:b/>
                <w:noProof/>
                <w:color w:val="000000" w:themeColor="text1"/>
                <w:lang w:eastAsia="en-IE"/>
              </w:rPr>
              <w:t xml:space="preserve">Business Registers 2025 </w:t>
            </w:r>
          </w:p>
        </w:tc>
        <w:tc>
          <w:tcPr>
            <w:tcW w:w="1538" w:type="dxa"/>
            <w:tcBorders>
              <w:top w:val="nil"/>
              <w:left w:val="single" w:sz="8" w:space="0" w:color="auto"/>
              <w:bottom w:val="single" w:sz="12" w:space="0" w:color="auto"/>
              <w:right w:val="single" w:sz="8" w:space="0" w:color="auto"/>
            </w:tcBorders>
          </w:tcPr>
          <w:p w14:paraId="1332DBE3" w14:textId="77777777" w:rsidR="00DF34D1" w:rsidRPr="007073AD" w:rsidRDefault="00DF34D1" w:rsidP="00432FAC">
            <w:pPr>
              <w:spacing w:after="0"/>
              <w:rPr>
                <w:rFonts w:eastAsia="Times New Roman"/>
                <w:b/>
                <w:noProof/>
                <w:color w:val="000000"/>
                <w:lang w:eastAsia="en-IE"/>
              </w:rPr>
            </w:pPr>
          </w:p>
          <w:p w14:paraId="212A4C56" w14:textId="77777777" w:rsidR="00DF34D1" w:rsidRPr="007073AD" w:rsidRDefault="00DF34D1" w:rsidP="00432FAC">
            <w:pPr>
              <w:spacing w:after="0"/>
              <w:rPr>
                <w:rFonts w:eastAsia="Times New Roman"/>
                <w:b/>
                <w:noProof/>
                <w:color w:val="000000"/>
                <w:lang w:eastAsia="en-IE"/>
              </w:rPr>
            </w:pPr>
          </w:p>
          <w:p w14:paraId="6EBF53E9" w14:textId="77777777" w:rsidR="00DF34D1" w:rsidRPr="007073AD" w:rsidRDefault="00DF34D1" w:rsidP="00432FAC">
            <w:pPr>
              <w:spacing w:after="0"/>
              <w:jc w:val="center"/>
              <w:rPr>
                <w:rFonts w:eastAsia="Times New Roman"/>
                <w:b/>
                <w:noProof/>
                <w:color w:val="000000"/>
                <w:lang w:eastAsia="en-IE"/>
              </w:rPr>
            </w:pPr>
            <w:r w:rsidRPr="007073AD">
              <w:rPr>
                <w:rFonts w:eastAsia="Times New Roman"/>
                <w:b/>
                <w:noProof/>
                <w:color w:val="000000"/>
                <w:lang w:eastAsia="en-IE"/>
              </w:rPr>
              <w:t>Change</w:t>
            </w:r>
          </w:p>
        </w:tc>
        <w:tc>
          <w:tcPr>
            <w:tcW w:w="1701" w:type="dxa"/>
            <w:tcBorders>
              <w:top w:val="nil"/>
              <w:left w:val="single" w:sz="8" w:space="0" w:color="auto"/>
              <w:bottom w:val="single" w:sz="12" w:space="0" w:color="auto"/>
              <w:right w:val="single" w:sz="8" w:space="0" w:color="auto"/>
            </w:tcBorders>
            <w:vAlign w:val="center"/>
          </w:tcPr>
          <w:p w14:paraId="3D02F53A" w14:textId="77777777" w:rsidR="00DF34D1" w:rsidRPr="007073AD" w:rsidRDefault="00DF34D1" w:rsidP="00432FAC">
            <w:pPr>
              <w:spacing w:after="0"/>
              <w:jc w:val="center"/>
              <w:rPr>
                <w:rFonts w:eastAsia="Times New Roman"/>
                <w:b/>
                <w:noProof/>
                <w:color w:val="000000"/>
                <w:lang w:eastAsia="en-IE"/>
              </w:rPr>
            </w:pPr>
            <w:r w:rsidRPr="007073AD">
              <w:rPr>
                <w:rFonts w:eastAsia="Times New Roman"/>
                <w:b/>
                <w:noProof/>
                <w:color w:val="000000"/>
                <w:lang w:eastAsia="en-IE"/>
              </w:rPr>
              <w:t>Percentage change</w:t>
            </w:r>
          </w:p>
        </w:tc>
      </w:tr>
      <w:tr w:rsidR="00DF34D1" w:rsidRPr="001B3326" w14:paraId="33544F2C" w14:textId="77777777" w:rsidTr="00432FAC">
        <w:trPr>
          <w:trHeight w:val="310"/>
          <w:jc w:val="center"/>
        </w:trPr>
        <w:tc>
          <w:tcPr>
            <w:tcW w:w="1110" w:type="dxa"/>
            <w:tcBorders>
              <w:top w:val="nil"/>
              <w:left w:val="single" w:sz="8" w:space="0" w:color="auto"/>
              <w:bottom w:val="single" w:sz="8" w:space="0" w:color="auto"/>
              <w:right w:val="single" w:sz="8" w:space="0" w:color="auto"/>
            </w:tcBorders>
            <w:vAlign w:val="center"/>
            <w:hideMark/>
          </w:tcPr>
          <w:p w14:paraId="0242A2E5"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EU-27</w:t>
            </w:r>
          </w:p>
        </w:tc>
        <w:tc>
          <w:tcPr>
            <w:tcW w:w="2566" w:type="dxa"/>
            <w:tcBorders>
              <w:top w:val="nil"/>
              <w:left w:val="nil"/>
              <w:bottom w:val="single" w:sz="8" w:space="0" w:color="auto"/>
              <w:right w:val="single" w:sz="8" w:space="0" w:color="auto"/>
            </w:tcBorders>
            <w:vAlign w:val="center"/>
            <w:hideMark/>
          </w:tcPr>
          <w:p w14:paraId="516FD946" w14:textId="77777777" w:rsidR="00DF34D1" w:rsidRPr="007073AD" w:rsidRDefault="00DF34D1" w:rsidP="00432FAC">
            <w:pPr>
              <w:spacing w:after="0"/>
              <w:jc w:val="center"/>
              <w:rPr>
                <w:rFonts w:eastAsia="Times New Roman"/>
                <w:b/>
                <w:noProof/>
                <w:color w:val="000000"/>
                <w:lang w:eastAsia="en-IE"/>
              </w:rPr>
            </w:pPr>
            <w:r w:rsidRPr="007073AD">
              <w:rPr>
                <w:rFonts w:eastAsia="Times New Roman"/>
                <w:b/>
                <w:noProof/>
                <w:color w:val="000000"/>
                <w:lang w:eastAsia="en-IE"/>
              </w:rPr>
              <w:t>15,205,802</w:t>
            </w:r>
          </w:p>
        </w:tc>
        <w:tc>
          <w:tcPr>
            <w:tcW w:w="2431" w:type="dxa"/>
            <w:tcBorders>
              <w:top w:val="nil"/>
              <w:left w:val="nil"/>
              <w:bottom w:val="single" w:sz="8" w:space="0" w:color="auto"/>
              <w:right w:val="single" w:sz="8" w:space="0" w:color="auto"/>
            </w:tcBorders>
            <w:vAlign w:val="center"/>
            <w:hideMark/>
          </w:tcPr>
          <w:p w14:paraId="4AEF211B" w14:textId="77777777" w:rsidR="00DF34D1" w:rsidRPr="007073AD" w:rsidRDefault="00DF34D1" w:rsidP="00432FAC">
            <w:pPr>
              <w:spacing w:after="0"/>
              <w:jc w:val="center"/>
              <w:rPr>
                <w:rFonts w:eastAsia="Times New Roman"/>
                <w:b/>
                <w:noProof/>
                <w:color w:val="000000"/>
                <w:lang w:eastAsia="en-IE"/>
              </w:rPr>
            </w:pPr>
            <w:r w:rsidRPr="007073AD">
              <w:rPr>
                <w:rFonts w:eastAsia="Times New Roman"/>
                <w:b/>
                <w:noProof/>
                <w:color w:val="000000"/>
                <w:lang w:eastAsia="en-IE"/>
              </w:rPr>
              <w:t>17,209,106</w:t>
            </w:r>
          </w:p>
        </w:tc>
        <w:tc>
          <w:tcPr>
            <w:tcW w:w="1538" w:type="dxa"/>
            <w:tcBorders>
              <w:top w:val="single" w:sz="12" w:space="0" w:color="auto"/>
              <w:left w:val="nil"/>
              <w:bottom w:val="single" w:sz="8" w:space="0" w:color="auto"/>
              <w:right w:val="single" w:sz="4" w:space="0" w:color="auto"/>
            </w:tcBorders>
          </w:tcPr>
          <w:p w14:paraId="52D5EF03" w14:textId="77777777" w:rsidR="00DF34D1" w:rsidRPr="002320EE" w:rsidRDefault="00DF34D1" w:rsidP="00432FAC">
            <w:pPr>
              <w:spacing w:after="0"/>
              <w:jc w:val="center"/>
              <w:rPr>
                <w:b/>
                <w:bCs/>
                <w:noProof/>
                <w:color w:val="196B24"/>
              </w:rPr>
            </w:pPr>
            <w:r>
              <w:rPr>
                <w:b/>
                <w:bCs/>
                <w:noProof/>
                <w:color w:val="196B24"/>
              </w:rPr>
              <w:t>2,003,304</w:t>
            </w:r>
          </w:p>
        </w:tc>
        <w:tc>
          <w:tcPr>
            <w:tcW w:w="1701" w:type="dxa"/>
            <w:tcBorders>
              <w:top w:val="single" w:sz="12" w:space="0" w:color="auto"/>
              <w:left w:val="single" w:sz="4" w:space="0" w:color="auto"/>
              <w:bottom w:val="single" w:sz="8" w:space="0" w:color="auto"/>
              <w:right w:val="single" w:sz="8" w:space="0" w:color="auto"/>
            </w:tcBorders>
            <w:vAlign w:val="center"/>
          </w:tcPr>
          <w:p w14:paraId="743F16A3" w14:textId="77777777" w:rsidR="00DF34D1" w:rsidRPr="007073AD" w:rsidRDefault="00DF34D1" w:rsidP="00432FAC">
            <w:pPr>
              <w:spacing w:after="0"/>
              <w:jc w:val="center"/>
              <w:rPr>
                <w:rFonts w:eastAsia="Times New Roman"/>
                <w:b/>
                <w:noProof/>
                <w:color w:val="000000"/>
                <w:lang w:eastAsia="en-IE"/>
              </w:rPr>
            </w:pPr>
            <w:r w:rsidRPr="002320EE">
              <w:rPr>
                <w:b/>
                <w:bCs/>
                <w:noProof/>
                <w:color w:val="196B24"/>
              </w:rPr>
              <w:t>13.17%</w:t>
            </w:r>
          </w:p>
        </w:tc>
      </w:tr>
      <w:tr w:rsidR="00DF34D1" w:rsidRPr="001B3326" w14:paraId="282D015B" w14:textId="77777777" w:rsidTr="00432FAC">
        <w:trPr>
          <w:trHeight w:val="320"/>
          <w:jc w:val="center"/>
        </w:trPr>
        <w:tc>
          <w:tcPr>
            <w:tcW w:w="1110" w:type="dxa"/>
            <w:tcBorders>
              <w:top w:val="nil"/>
              <w:left w:val="single" w:sz="8" w:space="0" w:color="auto"/>
              <w:bottom w:val="single" w:sz="8" w:space="0" w:color="auto"/>
              <w:right w:val="single" w:sz="8" w:space="0" w:color="auto"/>
            </w:tcBorders>
            <w:vAlign w:val="center"/>
            <w:hideMark/>
          </w:tcPr>
          <w:p w14:paraId="446E0A73"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AT</w:t>
            </w:r>
          </w:p>
        </w:tc>
        <w:tc>
          <w:tcPr>
            <w:tcW w:w="2566" w:type="dxa"/>
            <w:tcBorders>
              <w:top w:val="nil"/>
              <w:left w:val="nil"/>
              <w:bottom w:val="single" w:sz="8" w:space="0" w:color="auto"/>
              <w:right w:val="single" w:sz="8" w:space="0" w:color="auto"/>
            </w:tcBorders>
            <w:vAlign w:val="center"/>
            <w:hideMark/>
          </w:tcPr>
          <w:p w14:paraId="4C93B1D9"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179,978</w:t>
            </w:r>
          </w:p>
        </w:tc>
        <w:tc>
          <w:tcPr>
            <w:tcW w:w="2431" w:type="dxa"/>
            <w:tcBorders>
              <w:top w:val="nil"/>
              <w:left w:val="nil"/>
              <w:bottom w:val="single" w:sz="8" w:space="0" w:color="auto"/>
              <w:right w:val="single" w:sz="8" w:space="0" w:color="auto"/>
            </w:tcBorders>
            <w:vAlign w:val="center"/>
            <w:hideMark/>
          </w:tcPr>
          <w:p w14:paraId="591AA407"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126,712</w:t>
            </w:r>
          </w:p>
        </w:tc>
        <w:tc>
          <w:tcPr>
            <w:tcW w:w="1538" w:type="dxa"/>
            <w:tcBorders>
              <w:top w:val="single" w:sz="8" w:space="0" w:color="auto"/>
              <w:left w:val="nil"/>
              <w:bottom w:val="single" w:sz="8" w:space="0" w:color="auto"/>
              <w:right w:val="single" w:sz="4" w:space="0" w:color="auto"/>
            </w:tcBorders>
          </w:tcPr>
          <w:p w14:paraId="6E138458" w14:textId="77777777" w:rsidR="00DF34D1" w:rsidRPr="002320EE" w:rsidRDefault="00DF34D1" w:rsidP="00432FAC">
            <w:pPr>
              <w:spacing w:after="0"/>
              <w:jc w:val="center"/>
              <w:rPr>
                <w:noProof/>
                <w:color w:val="FF0000"/>
              </w:rPr>
            </w:pPr>
            <w:r>
              <w:rPr>
                <w:noProof/>
                <w:color w:val="FF0000"/>
              </w:rPr>
              <w:t>-53,266</w:t>
            </w:r>
          </w:p>
        </w:tc>
        <w:tc>
          <w:tcPr>
            <w:tcW w:w="1701" w:type="dxa"/>
            <w:tcBorders>
              <w:top w:val="nil"/>
              <w:left w:val="single" w:sz="4" w:space="0" w:color="auto"/>
              <w:bottom w:val="single" w:sz="8" w:space="0" w:color="auto"/>
              <w:right w:val="single" w:sz="8" w:space="0" w:color="auto"/>
            </w:tcBorders>
            <w:vAlign w:val="center"/>
          </w:tcPr>
          <w:p w14:paraId="7DC92212" w14:textId="77777777" w:rsidR="00DF34D1" w:rsidRPr="007073AD" w:rsidRDefault="00DF34D1" w:rsidP="00432FAC">
            <w:pPr>
              <w:spacing w:after="0"/>
              <w:jc w:val="center"/>
              <w:rPr>
                <w:rFonts w:eastAsia="Times New Roman"/>
                <w:noProof/>
                <w:lang w:eastAsia="en-IE"/>
              </w:rPr>
            </w:pPr>
            <w:r w:rsidRPr="32F53989">
              <w:rPr>
                <w:noProof/>
                <w:color w:val="FF0000"/>
              </w:rPr>
              <w:t>-29.60%</w:t>
            </w:r>
          </w:p>
        </w:tc>
      </w:tr>
      <w:tr w:rsidR="00DF34D1" w:rsidRPr="001B3326" w14:paraId="6D5DD23A" w14:textId="77777777" w:rsidTr="00432FAC">
        <w:trPr>
          <w:trHeight w:val="315"/>
          <w:jc w:val="center"/>
        </w:trPr>
        <w:tc>
          <w:tcPr>
            <w:tcW w:w="1110" w:type="dxa"/>
            <w:tcBorders>
              <w:top w:val="nil"/>
              <w:left w:val="single" w:sz="8" w:space="0" w:color="auto"/>
              <w:bottom w:val="single" w:sz="8" w:space="0" w:color="auto"/>
              <w:right w:val="single" w:sz="8" w:space="0" w:color="auto"/>
            </w:tcBorders>
            <w:vAlign w:val="center"/>
            <w:hideMark/>
          </w:tcPr>
          <w:p w14:paraId="6199BA6D"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BE</w:t>
            </w:r>
          </w:p>
        </w:tc>
        <w:tc>
          <w:tcPr>
            <w:tcW w:w="2566" w:type="dxa"/>
            <w:tcBorders>
              <w:top w:val="nil"/>
              <w:left w:val="nil"/>
              <w:bottom w:val="single" w:sz="8" w:space="0" w:color="auto"/>
              <w:right w:val="single" w:sz="8" w:space="0" w:color="auto"/>
            </w:tcBorders>
            <w:vAlign w:val="center"/>
            <w:hideMark/>
          </w:tcPr>
          <w:p w14:paraId="6191D48B"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514,875</w:t>
            </w:r>
          </w:p>
        </w:tc>
        <w:tc>
          <w:tcPr>
            <w:tcW w:w="2431" w:type="dxa"/>
            <w:tcBorders>
              <w:top w:val="nil"/>
              <w:left w:val="nil"/>
              <w:bottom w:val="single" w:sz="8" w:space="0" w:color="auto"/>
              <w:right w:val="single" w:sz="8" w:space="0" w:color="auto"/>
            </w:tcBorders>
            <w:vAlign w:val="center"/>
            <w:hideMark/>
          </w:tcPr>
          <w:p w14:paraId="3293B662"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504,253</w:t>
            </w:r>
          </w:p>
        </w:tc>
        <w:tc>
          <w:tcPr>
            <w:tcW w:w="1538" w:type="dxa"/>
            <w:tcBorders>
              <w:top w:val="single" w:sz="8" w:space="0" w:color="auto"/>
              <w:left w:val="nil"/>
              <w:bottom w:val="single" w:sz="8" w:space="0" w:color="auto"/>
              <w:right w:val="single" w:sz="4" w:space="0" w:color="auto"/>
            </w:tcBorders>
          </w:tcPr>
          <w:p w14:paraId="67C897EE" w14:textId="77777777" w:rsidR="00DF34D1" w:rsidRPr="002320EE" w:rsidRDefault="00DF34D1" w:rsidP="00432FAC">
            <w:pPr>
              <w:spacing w:after="0"/>
              <w:jc w:val="center"/>
              <w:rPr>
                <w:noProof/>
                <w:color w:val="FF0000"/>
              </w:rPr>
            </w:pPr>
            <w:r>
              <w:rPr>
                <w:noProof/>
                <w:color w:val="FF0000"/>
              </w:rPr>
              <w:t>-10,622</w:t>
            </w:r>
          </w:p>
        </w:tc>
        <w:tc>
          <w:tcPr>
            <w:tcW w:w="1701" w:type="dxa"/>
            <w:tcBorders>
              <w:top w:val="nil"/>
              <w:left w:val="single" w:sz="4" w:space="0" w:color="auto"/>
              <w:bottom w:val="single" w:sz="8" w:space="0" w:color="auto"/>
              <w:right w:val="single" w:sz="8" w:space="0" w:color="auto"/>
            </w:tcBorders>
            <w:vAlign w:val="center"/>
          </w:tcPr>
          <w:p w14:paraId="1579667F" w14:textId="77777777" w:rsidR="00DF34D1" w:rsidRPr="007073AD" w:rsidRDefault="00DF34D1" w:rsidP="00432FAC">
            <w:pPr>
              <w:spacing w:after="0"/>
              <w:jc w:val="center"/>
              <w:rPr>
                <w:rFonts w:eastAsia="Times New Roman"/>
                <w:noProof/>
                <w:color w:val="000000"/>
                <w:lang w:eastAsia="en-IE"/>
              </w:rPr>
            </w:pPr>
            <w:r w:rsidRPr="002320EE">
              <w:rPr>
                <w:noProof/>
                <w:color w:val="FF0000"/>
              </w:rPr>
              <w:t>-2.06%</w:t>
            </w:r>
          </w:p>
        </w:tc>
      </w:tr>
      <w:tr w:rsidR="00DF34D1" w:rsidRPr="001B3326" w14:paraId="394F71B6" w14:textId="77777777" w:rsidTr="00432FAC">
        <w:trPr>
          <w:trHeight w:val="320"/>
          <w:jc w:val="center"/>
        </w:trPr>
        <w:tc>
          <w:tcPr>
            <w:tcW w:w="1110" w:type="dxa"/>
            <w:tcBorders>
              <w:top w:val="nil"/>
              <w:left w:val="single" w:sz="8" w:space="0" w:color="auto"/>
              <w:bottom w:val="single" w:sz="8" w:space="0" w:color="auto"/>
              <w:right w:val="single" w:sz="8" w:space="0" w:color="auto"/>
            </w:tcBorders>
            <w:vAlign w:val="center"/>
            <w:hideMark/>
          </w:tcPr>
          <w:p w14:paraId="4356EED6"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BG</w:t>
            </w:r>
          </w:p>
        </w:tc>
        <w:tc>
          <w:tcPr>
            <w:tcW w:w="2566" w:type="dxa"/>
            <w:tcBorders>
              <w:top w:val="nil"/>
              <w:left w:val="nil"/>
              <w:bottom w:val="single" w:sz="8" w:space="0" w:color="auto"/>
              <w:right w:val="single" w:sz="8" w:space="0" w:color="auto"/>
            </w:tcBorders>
            <w:vAlign w:val="center"/>
            <w:hideMark/>
          </w:tcPr>
          <w:p w14:paraId="791553A4"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776,108</w:t>
            </w:r>
          </w:p>
        </w:tc>
        <w:tc>
          <w:tcPr>
            <w:tcW w:w="2431" w:type="dxa"/>
            <w:tcBorders>
              <w:top w:val="nil"/>
              <w:left w:val="nil"/>
              <w:bottom w:val="single" w:sz="8" w:space="0" w:color="auto"/>
              <w:right w:val="single" w:sz="8" w:space="0" w:color="auto"/>
            </w:tcBorders>
            <w:vAlign w:val="center"/>
            <w:hideMark/>
          </w:tcPr>
          <w:p w14:paraId="4236BADB"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898,286</w:t>
            </w:r>
          </w:p>
        </w:tc>
        <w:tc>
          <w:tcPr>
            <w:tcW w:w="1538" w:type="dxa"/>
            <w:tcBorders>
              <w:top w:val="single" w:sz="8" w:space="0" w:color="auto"/>
              <w:left w:val="nil"/>
              <w:bottom w:val="single" w:sz="8" w:space="0" w:color="auto"/>
              <w:right w:val="single" w:sz="4" w:space="0" w:color="auto"/>
            </w:tcBorders>
          </w:tcPr>
          <w:p w14:paraId="48AB3C33" w14:textId="77777777" w:rsidR="00DF34D1" w:rsidRPr="002320EE" w:rsidRDefault="00DF34D1" w:rsidP="00432FAC">
            <w:pPr>
              <w:spacing w:after="0"/>
              <w:jc w:val="center"/>
              <w:rPr>
                <w:noProof/>
                <w:color w:val="196B24"/>
              </w:rPr>
            </w:pPr>
            <w:r>
              <w:rPr>
                <w:noProof/>
                <w:color w:val="196B24"/>
              </w:rPr>
              <w:t>122,178</w:t>
            </w:r>
          </w:p>
        </w:tc>
        <w:tc>
          <w:tcPr>
            <w:tcW w:w="1701" w:type="dxa"/>
            <w:tcBorders>
              <w:top w:val="nil"/>
              <w:left w:val="single" w:sz="4" w:space="0" w:color="auto"/>
              <w:bottom w:val="single" w:sz="8" w:space="0" w:color="auto"/>
              <w:right w:val="single" w:sz="8" w:space="0" w:color="auto"/>
            </w:tcBorders>
            <w:vAlign w:val="center"/>
          </w:tcPr>
          <w:p w14:paraId="6C3145CB" w14:textId="77777777" w:rsidR="00DF34D1" w:rsidRPr="007073AD" w:rsidRDefault="00DF34D1" w:rsidP="00432FAC">
            <w:pPr>
              <w:spacing w:after="0"/>
              <w:jc w:val="center"/>
              <w:rPr>
                <w:rFonts w:eastAsia="Times New Roman"/>
                <w:noProof/>
                <w:lang w:eastAsia="en-IE"/>
              </w:rPr>
            </w:pPr>
            <w:r w:rsidRPr="002320EE">
              <w:rPr>
                <w:noProof/>
                <w:color w:val="196B24"/>
              </w:rPr>
              <w:t>15.74%</w:t>
            </w:r>
          </w:p>
        </w:tc>
      </w:tr>
      <w:tr w:rsidR="00DF34D1" w:rsidRPr="001B3326" w14:paraId="129E1775" w14:textId="77777777" w:rsidTr="00432FAC">
        <w:trPr>
          <w:trHeight w:val="320"/>
          <w:jc w:val="center"/>
        </w:trPr>
        <w:tc>
          <w:tcPr>
            <w:tcW w:w="1110" w:type="dxa"/>
            <w:tcBorders>
              <w:top w:val="nil"/>
              <w:left w:val="single" w:sz="8" w:space="0" w:color="auto"/>
              <w:bottom w:val="single" w:sz="8" w:space="0" w:color="auto"/>
              <w:right w:val="single" w:sz="8" w:space="0" w:color="auto"/>
            </w:tcBorders>
            <w:vAlign w:val="center"/>
            <w:hideMark/>
          </w:tcPr>
          <w:p w14:paraId="37CA1B6C"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HR</w:t>
            </w:r>
          </w:p>
        </w:tc>
        <w:tc>
          <w:tcPr>
            <w:tcW w:w="2566" w:type="dxa"/>
            <w:tcBorders>
              <w:top w:val="nil"/>
              <w:left w:val="nil"/>
              <w:bottom w:val="single" w:sz="8" w:space="0" w:color="auto"/>
              <w:right w:val="single" w:sz="8" w:space="0" w:color="auto"/>
            </w:tcBorders>
            <w:vAlign w:val="center"/>
            <w:hideMark/>
          </w:tcPr>
          <w:p w14:paraId="5F8AE2F0"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116,198</w:t>
            </w:r>
          </w:p>
        </w:tc>
        <w:tc>
          <w:tcPr>
            <w:tcW w:w="2431" w:type="dxa"/>
            <w:tcBorders>
              <w:top w:val="nil"/>
              <w:left w:val="nil"/>
              <w:bottom w:val="single" w:sz="8" w:space="0" w:color="auto"/>
              <w:right w:val="single" w:sz="8" w:space="0" w:color="auto"/>
            </w:tcBorders>
            <w:vAlign w:val="center"/>
            <w:hideMark/>
          </w:tcPr>
          <w:p w14:paraId="6E30EFD2"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148,542</w:t>
            </w:r>
          </w:p>
        </w:tc>
        <w:tc>
          <w:tcPr>
            <w:tcW w:w="1538" w:type="dxa"/>
            <w:tcBorders>
              <w:top w:val="single" w:sz="8" w:space="0" w:color="auto"/>
              <w:left w:val="nil"/>
              <w:bottom w:val="single" w:sz="8" w:space="0" w:color="auto"/>
              <w:right w:val="single" w:sz="4" w:space="0" w:color="auto"/>
            </w:tcBorders>
          </w:tcPr>
          <w:p w14:paraId="666D34F0" w14:textId="77777777" w:rsidR="00DF34D1" w:rsidRPr="002320EE" w:rsidRDefault="00DF34D1" w:rsidP="00432FAC">
            <w:pPr>
              <w:spacing w:after="0"/>
              <w:jc w:val="center"/>
              <w:rPr>
                <w:noProof/>
                <w:color w:val="196B24"/>
              </w:rPr>
            </w:pPr>
            <w:r>
              <w:rPr>
                <w:noProof/>
                <w:color w:val="196B24"/>
              </w:rPr>
              <w:t>32,344</w:t>
            </w:r>
          </w:p>
        </w:tc>
        <w:tc>
          <w:tcPr>
            <w:tcW w:w="1701" w:type="dxa"/>
            <w:tcBorders>
              <w:top w:val="nil"/>
              <w:left w:val="single" w:sz="4" w:space="0" w:color="auto"/>
              <w:bottom w:val="single" w:sz="8" w:space="0" w:color="auto"/>
              <w:right w:val="single" w:sz="8" w:space="0" w:color="auto"/>
            </w:tcBorders>
            <w:vAlign w:val="center"/>
          </w:tcPr>
          <w:p w14:paraId="0694B987" w14:textId="77777777" w:rsidR="00DF34D1" w:rsidRPr="007073AD" w:rsidRDefault="00DF34D1" w:rsidP="00432FAC">
            <w:pPr>
              <w:spacing w:after="0"/>
              <w:jc w:val="center"/>
              <w:rPr>
                <w:rFonts w:eastAsia="Times New Roman"/>
                <w:noProof/>
                <w:lang w:eastAsia="en-IE"/>
              </w:rPr>
            </w:pPr>
            <w:r w:rsidRPr="002320EE">
              <w:rPr>
                <w:noProof/>
                <w:color w:val="196B24"/>
              </w:rPr>
              <w:t>27.84%</w:t>
            </w:r>
          </w:p>
        </w:tc>
      </w:tr>
      <w:tr w:rsidR="00DF34D1" w:rsidRPr="001B3326" w14:paraId="70732167"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55F6ABCF" w14:textId="77777777" w:rsidR="00DF34D1" w:rsidRPr="007073AD" w:rsidRDefault="00DF34D1" w:rsidP="00432FAC">
            <w:pPr>
              <w:spacing w:after="0"/>
              <w:rPr>
                <w:rFonts w:eastAsia="Times New Roman"/>
                <w:b/>
                <w:noProof/>
                <w:lang w:eastAsia="en-IE"/>
              </w:rPr>
            </w:pPr>
            <w:r w:rsidRPr="007073AD">
              <w:rPr>
                <w:rFonts w:eastAsia="Times New Roman"/>
                <w:b/>
                <w:noProof/>
                <w:lang w:eastAsia="en-IE"/>
              </w:rPr>
              <w:t>CY</w:t>
            </w:r>
          </w:p>
        </w:tc>
        <w:tc>
          <w:tcPr>
            <w:tcW w:w="2566" w:type="dxa"/>
            <w:tcBorders>
              <w:top w:val="nil"/>
              <w:left w:val="nil"/>
              <w:bottom w:val="single" w:sz="8" w:space="0" w:color="auto"/>
              <w:right w:val="single" w:sz="8" w:space="0" w:color="auto"/>
            </w:tcBorders>
            <w:noWrap/>
            <w:vAlign w:val="center"/>
            <w:hideMark/>
          </w:tcPr>
          <w:p w14:paraId="732A08E6"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179,990</w:t>
            </w:r>
          </w:p>
        </w:tc>
        <w:tc>
          <w:tcPr>
            <w:tcW w:w="2431" w:type="dxa"/>
            <w:tcBorders>
              <w:top w:val="nil"/>
              <w:left w:val="nil"/>
              <w:bottom w:val="single" w:sz="8" w:space="0" w:color="auto"/>
              <w:right w:val="single" w:sz="8" w:space="0" w:color="auto"/>
            </w:tcBorders>
            <w:vAlign w:val="center"/>
            <w:hideMark/>
          </w:tcPr>
          <w:p w14:paraId="2EA4648E"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190,000*</w:t>
            </w:r>
          </w:p>
        </w:tc>
        <w:tc>
          <w:tcPr>
            <w:tcW w:w="1538" w:type="dxa"/>
            <w:tcBorders>
              <w:top w:val="single" w:sz="8" w:space="0" w:color="auto"/>
              <w:left w:val="nil"/>
              <w:bottom w:val="single" w:sz="8" w:space="0" w:color="auto"/>
              <w:right w:val="single" w:sz="4" w:space="0" w:color="auto"/>
            </w:tcBorders>
          </w:tcPr>
          <w:p w14:paraId="73B25EF2" w14:textId="77777777" w:rsidR="00DF34D1" w:rsidRPr="002320EE" w:rsidRDefault="00DF34D1" w:rsidP="00432FAC">
            <w:pPr>
              <w:spacing w:after="0"/>
              <w:jc w:val="center"/>
              <w:rPr>
                <w:noProof/>
                <w:color w:val="196B24"/>
              </w:rPr>
            </w:pPr>
            <w:r>
              <w:rPr>
                <w:noProof/>
                <w:color w:val="196B24"/>
              </w:rPr>
              <w:t>10,010</w:t>
            </w:r>
          </w:p>
        </w:tc>
        <w:tc>
          <w:tcPr>
            <w:tcW w:w="1701" w:type="dxa"/>
            <w:tcBorders>
              <w:top w:val="nil"/>
              <w:left w:val="single" w:sz="4" w:space="0" w:color="auto"/>
              <w:bottom w:val="single" w:sz="8" w:space="0" w:color="auto"/>
              <w:right w:val="single" w:sz="8" w:space="0" w:color="auto"/>
            </w:tcBorders>
            <w:vAlign w:val="center"/>
          </w:tcPr>
          <w:p w14:paraId="1CF14F12" w14:textId="77777777" w:rsidR="00DF34D1" w:rsidRPr="007073AD" w:rsidRDefault="00DF34D1" w:rsidP="00432FAC">
            <w:pPr>
              <w:spacing w:after="0"/>
              <w:jc w:val="center"/>
              <w:rPr>
                <w:rFonts w:eastAsia="Times New Roman"/>
                <w:noProof/>
                <w:lang w:eastAsia="en-IE"/>
              </w:rPr>
            </w:pPr>
            <w:r w:rsidRPr="002320EE">
              <w:rPr>
                <w:noProof/>
                <w:color w:val="196B24"/>
              </w:rPr>
              <w:t>5.56%</w:t>
            </w:r>
          </w:p>
        </w:tc>
      </w:tr>
      <w:tr w:rsidR="00DF34D1" w:rsidRPr="001B3326" w14:paraId="40CD79AD"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0BD571A5" w14:textId="77777777" w:rsidR="00DF34D1" w:rsidRPr="007073AD" w:rsidRDefault="00DF34D1" w:rsidP="00432FAC">
            <w:pPr>
              <w:spacing w:after="0"/>
              <w:rPr>
                <w:rFonts w:eastAsia="Times New Roman"/>
                <w:b/>
                <w:noProof/>
                <w:lang w:eastAsia="en-IE"/>
              </w:rPr>
            </w:pPr>
            <w:r w:rsidRPr="007073AD">
              <w:rPr>
                <w:rFonts w:eastAsia="Times New Roman"/>
                <w:b/>
                <w:noProof/>
                <w:lang w:eastAsia="en-IE"/>
              </w:rPr>
              <w:t>CZ</w:t>
            </w:r>
          </w:p>
        </w:tc>
        <w:tc>
          <w:tcPr>
            <w:tcW w:w="2566" w:type="dxa"/>
            <w:tcBorders>
              <w:top w:val="nil"/>
              <w:left w:val="nil"/>
              <w:bottom w:val="single" w:sz="8" w:space="0" w:color="auto"/>
              <w:right w:val="single" w:sz="8" w:space="0" w:color="auto"/>
            </w:tcBorders>
            <w:noWrap/>
            <w:vAlign w:val="center"/>
            <w:hideMark/>
          </w:tcPr>
          <w:p w14:paraId="167578EC"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517,558</w:t>
            </w:r>
          </w:p>
        </w:tc>
        <w:tc>
          <w:tcPr>
            <w:tcW w:w="2431" w:type="dxa"/>
            <w:tcBorders>
              <w:top w:val="nil"/>
              <w:left w:val="nil"/>
              <w:bottom w:val="single" w:sz="8" w:space="0" w:color="auto"/>
              <w:right w:val="single" w:sz="8" w:space="0" w:color="auto"/>
            </w:tcBorders>
            <w:vAlign w:val="center"/>
            <w:hideMark/>
          </w:tcPr>
          <w:p w14:paraId="33ACAF21"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592,965</w:t>
            </w:r>
          </w:p>
        </w:tc>
        <w:tc>
          <w:tcPr>
            <w:tcW w:w="1538" w:type="dxa"/>
            <w:tcBorders>
              <w:top w:val="single" w:sz="8" w:space="0" w:color="auto"/>
              <w:left w:val="nil"/>
              <w:bottom w:val="single" w:sz="8" w:space="0" w:color="auto"/>
              <w:right w:val="single" w:sz="4" w:space="0" w:color="auto"/>
            </w:tcBorders>
          </w:tcPr>
          <w:p w14:paraId="02C76414" w14:textId="77777777" w:rsidR="00DF34D1" w:rsidRPr="002320EE" w:rsidRDefault="00DF34D1" w:rsidP="00432FAC">
            <w:pPr>
              <w:spacing w:after="0"/>
              <w:jc w:val="center"/>
              <w:rPr>
                <w:noProof/>
                <w:color w:val="196B24"/>
              </w:rPr>
            </w:pPr>
            <w:r>
              <w:rPr>
                <w:noProof/>
                <w:color w:val="196B24"/>
              </w:rPr>
              <w:t>75,407</w:t>
            </w:r>
          </w:p>
        </w:tc>
        <w:tc>
          <w:tcPr>
            <w:tcW w:w="1701" w:type="dxa"/>
            <w:tcBorders>
              <w:top w:val="nil"/>
              <w:left w:val="single" w:sz="4" w:space="0" w:color="auto"/>
              <w:bottom w:val="single" w:sz="8" w:space="0" w:color="auto"/>
              <w:right w:val="single" w:sz="8" w:space="0" w:color="auto"/>
            </w:tcBorders>
            <w:vAlign w:val="center"/>
          </w:tcPr>
          <w:p w14:paraId="3656F3A3" w14:textId="77777777" w:rsidR="00DF34D1" w:rsidRPr="007073AD" w:rsidRDefault="00DF34D1" w:rsidP="00432FAC">
            <w:pPr>
              <w:spacing w:after="0"/>
              <w:jc w:val="center"/>
              <w:rPr>
                <w:rFonts w:eastAsia="Times New Roman"/>
                <w:noProof/>
                <w:lang w:eastAsia="en-IE"/>
              </w:rPr>
            </w:pPr>
            <w:r w:rsidRPr="002320EE">
              <w:rPr>
                <w:noProof/>
                <w:color w:val="196B24"/>
              </w:rPr>
              <w:t>14.57%</w:t>
            </w:r>
          </w:p>
        </w:tc>
      </w:tr>
      <w:tr w:rsidR="00DF34D1" w:rsidRPr="001B3326" w14:paraId="052D59E2"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25C1BAF0" w14:textId="77777777" w:rsidR="00DF34D1" w:rsidRPr="007073AD" w:rsidRDefault="00DF34D1" w:rsidP="00432FAC">
            <w:pPr>
              <w:spacing w:after="0"/>
              <w:rPr>
                <w:rFonts w:eastAsia="Times New Roman"/>
                <w:b/>
                <w:noProof/>
                <w:lang w:eastAsia="en-IE"/>
              </w:rPr>
            </w:pPr>
            <w:r w:rsidRPr="007073AD">
              <w:rPr>
                <w:rFonts w:eastAsia="Times New Roman"/>
                <w:b/>
                <w:noProof/>
                <w:lang w:eastAsia="en-IE"/>
              </w:rPr>
              <w:t>DK</w:t>
            </w:r>
          </w:p>
        </w:tc>
        <w:tc>
          <w:tcPr>
            <w:tcW w:w="2566" w:type="dxa"/>
            <w:tcBorders>
              <w:top w:val="nil"/>
              <w:left w:val="nil"/>
              <w:bottom w:val="single" w:sz="8" w:space="0" w:color="auto"/>
              <w:right w:val="single" w:sz="8" w:space="0" w:color="auto"/>
            </w:tcBorders>
            <w:noWrap/>
            <w:vAlign w:val="center"/>
            <w:hideMark/>
          </w:tcPr>
          <w:p w14:paraId="142D61E8"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317,384</w:t>
            </w:r>
          </w:p>
        </w:tc>
        <w:tc>
          <w:tcPr>
            <w:tcW w:w="2431" w:type="dxa"/>
            <w:tcBorders>
              <w:top w:val="nil"/>
              <w:left w:val="nil"/>
              <w:bottom w:val="single" w:sz="8" w:space="0" w:color="auto"/>
              <w:right w:val="single" w:sz="8" w:space="0" w:color="auto"/>
            </w:tcBorders>
            <w:vAlign w:val="center"/>
            <w:hideMark/>
          </w:tcPr>
          <w:p w14:paraId="2C11B728"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356,833*</w:t>
            </w:r>
          </w:p>
        </w:tc>
        <w:tc>
          <w:tcPr>
            <w:tcW w:w="1538" w:type="dxa"/>
            <w:tcBorders>
              <w:top w:val="single" w:sz="8" w:space="0" w:color="auto"/>
              <w:left w:val="nil"/>
              <w:bottom w:val="single" w:sz="8" w:space="0" w:color="auto"/>
              <w:right w:val="single" w:sz="4" w:space="0" w:color="auto"/>
            </w:tcBorders>
          </w:tcPr>
          <w:p w14:paraId="3EAC4403" w14:textId="77777777" w:rsidR="00DF34D1" w:rsidRPr="002320EE" w:rsidRDefault="00DF34D1" w:rsidP="00432FAC">
            <w:pPr>
              <w:spacing w:after="0"/>
              <w:jc w:val="center"/>
              <w:rPr>
                <w:noProof/>
                <w:color w:val="196B24"/>
              </w:rPr>
            </w:pPr>
            <w:r>
              <w:rPr>
                <w:noProof/>
                <w:color w:val="196B24"/>
              </w:rPr>
              <w:t>39,449</w:t>
            </w:r>
          </w:p>
        </w:tc>
        <w:tc>
          <w:tcPr>
            <w:tcW w:w="1701" w:type="dxa"/>
            <w:tcBorders>
              <w:top w:val="nil"/>
              <w:left w:val="single" w:sz="4" w:space="0" w:color="auto"/>
              <w:bottom w:val="single" w:sz="8" w:space="0" w:color="auto"/>
              <w:right w:val="single" w:sz="8" w:space="0" w:color="auto"/>
            </w:tcBorders>
            <w:vAlign w:val="center"/>
          </w:tcPr>
          <w:p w14:paraId="71B9EFB1" w14:textId="77777777" w:rsidR="00DF34D1" w:rsidRPr="007073AD" w:rsidRDefault="00DF34D1" w:rsidP="00432FAC">
            <w:pPr>
              <w:spacing w:after="0"/>
              <w:jc w:val="center"/>
              <w:rPr>
                <w:rFonts w:eastAsia="Times New Roman"/>
                <w:noProof/>
                <w:lang w:eastAsia="en-IE"/>
              </w:rPr>
            </w:pPr>
            <w:r w:rsidRPr="002320EE">
              <w:rPr>
                <w:noProof/>
                <w:color w:val="196B24"/>
              </w:rPr>
              <w:t>12.43%</w:t>
            </w:r>
          </w:p>
        </w:tc>
      </w:tr>
      <w:tr w:rsidR="00DF34D1" w:rsidRPr="001B3326" w14:paraId="3966569E"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37DDDAE4" w14:textId="77777777" w:rsidR="00DF34D1" w:rsidRPr="007073AD" w:rsidRDefault="00DF34D1" w:rsidP="00432FAC">
            <w:pPr>
              <w:spacing w:after="0"/>
              <w:rPr>
                <w:rFonts w:eastAsia="Times New Roman"/>
                <w:b/>
                <w:noProof/>
                <w:lang w:eastAsia="en-IE"/>
              </w:rPr>
            </w:pPr>
            <w:r w:rsidRPr="007073AD">
              <w:rPr>
                <w:rFonts w:eastAsia="Times New Roman"/>
                <w:b/>
                <w:noProof/>
                <w:lang w:eastAsia="en-IE"/>
              </w:rPr>
              <w:t>EE</w:t>
            </w:r>
          </w:p>
        </w:tc>
        <w:tc>
          <w:tcPr>
            <w:tcW w:w="2566" w:type="dxa"/>
            <w:tcBorders>
              <w:top w:val="nil"/>
              <w:left w:val="nil"/>
              <w:bottom w:val="single" w:sz="8" w:space="0" w:color="auto"/>
              <w:right w:val="single" w:sz="8" w:space="0" w:color="auto"/>
            </w:tcBorders>
            <w:noWrap/>
            <w:vAlign w:val="center"/>
            <w:hideMark/>
          </w:tcPr>
          <w:p w14:paraId="5523219D"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241,181</w:t>
            </w:r>
          </w:p>
        </w:tc>
        <w:tc>
          <w:tcPr>
            <w:tcW w:w="2431" w:type="dxa"/>
            <w:tcBorders>
              <w:top w:val="nil"/>
              <w:left w:val="nil"/>
              <w:bottom w:val="single" w:sz="8" w:space="0" w:color="auto"/>
              <w:right w:val="single" w:sz="8" w:space="0" w:color="auto"/>
            </w:tcBorders>
            <w:vAlign w:val="center"/>
            <w:hideMark/>
          </w:tcPr>
          <w:p w14:paraId="3FCD5422"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278,188</w:t>
            </w:r>
          </w:p>
        </w:tc>
        <w:tc>
          <w:tcPr>
            <w:tcW w:w="1538" w:type="dxa"/>
            <w:tcBorders>
              <w:top w:val="single" w:sz="8" w:space="0" w:color="auto"/>
              <w:left w:val="nil"/>
              <w:bottom w:val="single" w:sz="8" w:space="0" w:color="auto"/>
              <w:right w:val="single" w:sz="4" w:space="0" w:color="auto"/>
            </w:tcBorders>
          </w:tcPr>
          <w:p w14:paraId="43217CDC" w14:textId="77777777" w:rsidR="00DF34D1" w:rsidRPr="002320EE" w:rsidRDefault="00DF34D1" w:rsidP="00432FAC">
            <w:pPr>
              <w:spacing w:after="0"/>
              <w:jc w:val="center"/>
              <w:rPr>
                <w:noProof/>
                <w:color w:val="196B24"/>
              </w:rPr>
            </w:pPr>
            <w:r>
              <w:rPr>
                <w:noProof/>
                <w:color w:val="196B24"/>
              </w:rPr>
              <w:t>37,007</w:t>
            </w:r>
          </w:p>
        </w:tc>
        <w:tc>
          <w:tcPr>
            <w:tcW w:w="1701" w:type="dxa"/>
            <w:tcBorders>
              <w:top w:val="nil"/>
              <w:left w:val="single" w:sz="4" w:space="0" w:color="auto"/>
              <w:bottom w:val="single" w:sz="8" w:space="0" w:color="auto"/>
              <w:right w:val="single" w:sz="8" w:space="0" w:color="auto"/>
            </w:tcBorders>
            <w:vAlign w:val="center"/>
          </w:tcPr>
          <w:p w14:paraId="76BFDBF6" w14:textId="77777777" w:rsidR="00DF34D1" w:rsidRPr="007073AD" w:rsidRDefault="00DF34D1" w:rsidP="00432FAC">
            <w:pPr>
              <w:spacing w:after="0"/>
              <w:jc w:val="center"/>
              <w:rPr>
                <w:rFonts w:eastAsia="Times New Roman"/>
                <w:noProof/>
                <w:lang w:eastAsia="en-IE"/>
              </w:rPr>
            </w:pPr>
            <w:r w:rsidRPr="002320EE">
              <w:rPr>
                <w:noProof/>
                <w:color w:val="196B24"/>
              </w:rPr>
              <w:t>15.34%</w:t>
            </w:r>
          </w:p>
        </w:tc>
      </w:tr>
      <w:tr w:rsidR="00DF34D1" w:rsidRPr="001B3326" w14:paraId="70F0DB0F"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2615B4C1" w14:textId="77777777" w:rsidR="00DF34D1" w:rsidRPr="007073AD" w:rsidRDefault="00DF34D1" w:rsidP="00432FAC">
            <w:pPr>
              <w:spacing w:after="0"/>
              <w:rPr>
                <w:rFonts w:eastAsia="Times New Roman"/>
                <w:b/>
                <w:noProof/>
                <w:lang w:eastAsia="en-IE"/>
              </w:rPr>
            </w:pPr>
            <w:r w:rsidRPr="007073AD">
              <w:rPr>
                <w:rFonts w:eastAsia="Times New Roman"/>
                <w:b/>
                <w:noProof/>
                <w:lang w:eastAsia="en-IE"/>
              </w:rPr>
              <w:t>FI</w:t>
            </w:r>
          </w:p>
        </w:tc>
        <w:tc>
          <w:tcPr>
            <w:tcW w:w="2566" w:type="dxa"/>
            <w:tcBorders>
              <w:top w:val="nil"/>
              <w:left w:val="nil"/>
              <w:bottom w:val="single" w:sz="8" w:space="0" w:color="auto"/>
              <w:right w:val="single" w:sz="8" w:space="0" w:color="auto"/>
            </w:tcBorders>
            <w:noWrap/>
            <w:vAlign w:val="center"/>
            <w:hideMark/>
          </w:tcPr>
          <w:p w14:paraId="29C42349"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262,380</w:t>
            </w:r>
          </w:p>
        </w:tc>
        <w:tc>
          <w:tcPr>
            <w:tcW w:w="2431" w:type="dxa"/>
            <w:tcBorders>
              <w:top w:val="nil"/>
              <w:left w:val="nil"/>
              <w:bottom w:val="single" w:sz="8" w:space="0" w:color="auto"/>
              <w:right w:val="single" w:sz="8" w:space="0" w:color="auto"/>
            </w:tcBorders>
            <w:vAlign w:val="center"/>
            <w:hideMark/>
          </w:tcPr>
          <w:p w14:paraId="648A72D2"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294,171</w:t>
            </w:r>
          </w:p>
        </w:tc>
        <w:tc>
          <w:tcPr>
            <w:tcW w:w="1538" w:type="dxa"/>
            <w:tcBorders>
              <w:top w:val="single" w:sz="8" w:space="0" w:color="auto"/>
              <w:left w:val="nil"/>
              <w:bottom w:val="single" w:sz="8" w:space="0" w:color="auto"/>
              <w:right w:val="single" w:sz="4" w:space="0" w:color="auto"/>
            </w:tcBorders>
          </w:tcPr>
          <w:p w14:paraId="2E63D12F" w14:textId="77777777" w:rsidR="00DF34D1" w:rsidRPr="002320EE" w:rsidRDefault="00DF34D1" w:rsidP="00432FAC">
            <w:pPr>
              <w:spacing w:after="0"/>
              <w:jc w:val="center"/>
              <w:rPr>
                <w:noProof/>
                <w:color w:val="196B24"/>
              </w:rPr>
            </w:pPr>
            <w:r>
              <w:rPr>
                <w:noProof/>
                <w:color w:val="196B24"/>
              </w:rPr>
              <w:t>31,791</w:t>
            </w:r>
          </w:p>
        </w:tc>
        <w:tc>
          <w:tcPr>
            <w:tcW w:w="1701" w:type="dxa"/>
            <w:tcBorders>
              <w:top w:val="nil"/>
              <w:left w:val="single" w:sz="4" w:space="0" w:color="auto"/>
              <w:bottom w:val="single" w:sz="8" w:space="0" w:color="auto"/>
              <w:right w:val="single" w:sz="8" w:space="0" w:color="auto"/>
            </w:tcBorders>
            <w:vAlign w:val="center"/>
          </w:tcPr>
          <w:p w14:paraId="465CCB52" w14:textId="77777777" w:rsidR="00DF34D1" w:rsidRPr="007073AD" w:rsidRDefault="00DF34D1" w:rsidP="00432FAC">
            <w:pPr>
              <w:spacing w:after="0"/>
              <w:jc w:val="center"/>
              <w:rPr>
                <w:rFonts w:eastAsia="Times New Roman"/>
                <w:noProof/>
                <w:lang w:eastAsia="en-IE"/>
              </w:rPr>
            </w:pPr>
            <w:r w:rsidRPr="002320EE">
              <w:rPr>
                <w:noProof/>
                <w:color w:val="196B24"/>
              </w:rPr>
              <w:t>12.12%</w:t>
            </w:r>
          </w:p>
        </w:tc>
      </w:tr>
      <w:tr w:rsidR="00DF34D1" w:rsidRPr="001B3326" w14:paraId="6C9201BC"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6310B938" w14:textId="77777777" w:rsidR="00DF34D1" w:rsidRPr="007073AD" w:rsidRDefault="00DF34D1" w:rsidP="00432FAC">
            <w:pPr>
              <w:spacing w:after="0"/>
              <w:rPr>
                <w:rFonts w:eastAsia="Times New Roman"/>
                <w:b/>
                <w:noProof/>
                <w:lang w:eastAsia="en-IE"/>
              </w:rPr>
            </w:pPr>
            <w:r w:rsidRPr="007073AD">
              <w:rPr>
                <w:rFonts w:eastAsia="Times New Roman"/>
                <w:b/>
                <w:noProof/>
                <w:lang w:eastAsia="en-IE"/>
              </w:rPr>
              <w:t>FR</w:t>
            </w:r>
          </w:p>
        </w:tc>
        <w:tc>
          <w:tcPr>
            <w:tcW w:w="2566" w:type="dxa"/>
            <w:tcBorders>
              <w:top w:val="nil"/>
              <w:left w:val="nil"/>
              <w:bottom w:val="single" w:sz="8" w:space="0" w:color="auto"/>
              <w:right w:val="single" w:sz="8" w:space="0" w:color="auto"/>
            </w:tcBorders>
            <w:noWrap/>
            <w:hideMark/>
          </w:tcPr>
          <w:p w14:paraId="139E9368"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2,624,440</w:t>
            </w:r>
          </w:p>
        </w:tc>
        <w:tc>
          <w:tcPr>
            <w:tcW w:w="2431" w:type="dxa"/>
            <w:tcBorders>
              <w:top w:val="nil"/>
              <w:left w:val="nil"/>
              <w:bottom w:val="single" w:sz="8" w:space="0" w:color="auto"/>
              <w:right w:val="single" w:sz="8" w:space="0" w:color="auto"/>
            </w:tcBorders>
            <w:vAlign w:val="center"/>
            <w:hideMark/>
          </w:tcPr>
          <w:p w14:paraId="4589AC23"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3,160,024</w:t>
            </w:r>
          </w:p>
        </w:tc>
        <w:tc>
          <w:tcPr>
            <w:tcW w:w="1538" w:type="dxa"/>
            <w:tcBorders>
              <w:top w:val="single" w:sz="8" w:space="0" w:color="auto"/>
              <w:left w:val="nil"/>
              <w:bottom w:val="single" w:sz="8" w:space="0" w:color="auto"/>
              <w:right w:val="single" w:sz="4" w:space="0" w:color="auto"/>
            </w:tcBorders>
          </w:tcPr>
          <w:p w14:paraId="4D9D8CC3" w14:textId="77777777" w:rsidR="00DF34D1" w:rsidRPr="002320EE" w:rsidRDefault="00DF34D1" w:rsidP="00432FAC">
            <w:pPr>
              <w:spacing w:after="0"/>
              <w:jc w:val="center"/>
              <w:rPr>
                <w:noProof/>
                <w:color w:val="196B24"/>
              </w:rPr>
            </w:pPr>
            <w:r>
              <w:rPr>
                <w:noProof/>
                <w:color w:val="196B24"/>
              </w:rPr>
              <w:t>535,584</w:t>
            </w:r>
          </w:p>
        </w:tc>
        <w:tc>
          <w:tcPr>
            <w:tcW w:w="1701" w:type="dxa"/>
            <w:tcBorders>
              <w:top w:val="nil"/>
              <w:left w:val="single" w:sz="4" w:space="0" w:color="auto"/>
              <w:bottom w:val="single" w:sz="8" w:space="0" w:color="auto"/>
              <w:right w:val="single" w:sz="8" w:space="0" w:color="auto"/>
            </w:tcBorders>
            <w:vAlign w:val="center"/>
          </w:tcPr>
          <w:p w14:paraId="302DEAB5" w14:textId="77777777" w:rsidR="00DF34D1" w:rsidRPr="007073AD" w:rsidRDefault="00DF34D1" w:rsidP="00432FAC">
            <w:pPr>
              <w:spacing w:after="0"/>
              <w:jc w:val="center"/>
              <w:rPr>
                <w:rFonts w:eastAsia="Times New Roman"/>
                <w:noProof/>
                <w:lang w:eastAsia="en-IE"/>
              </w:rPr>
            </w:pPr>
            <w:r w:rsidRPr="002320EE">
              <w:rPr>
                <w:noProof/>
                <w:color w:val="196B24"/>
              </w:rPr>
              <w:t>20.41%</w:t>
            </w:r>
          </w:p>
        </w:tc>
      </w:tr>
      <w:tr w:rsidR="00DF34D1" w:rsidRPr="001B3326" w14:paraId="251DA6C2"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38597D49" w14:textId="77777777" w:rsidR="00DF34D1" w:rsidRPr="007073AD" w:rsidRDefault="00DF34D1" w:rsidP="00432FAC">
            <w:pPr>
              <w:spacing w:after="0"/>
              <w:rPr>
                <w:rFonts w:eastAsia="Times New Roman"/>
                <w:b/>
                <w:noProof/>
                <w:lang w:eastAsia="en-IE"/>
              </w:rPr>
            </w:pPr>
            <w:r w:rsidRPr="007073AD">
              <w:rPr>
                <w:rFonts w:eastAsia="Times New Roman"/>
                <w:b/>
                <w:noProof/>
                <w:lang w:eastAsia="en-IE"/>
              </w:rPr>
              <w:t>DE</w:t>
            </w:r>
          </w:p>
        </w:tc>
        <w:tc>
          <w:tcPr>
            <w:tcW w:w="2566" w:type="dxa"/>
            <w:tcBorders>
              <w:top w:val="nil"/>
              <w:left w:val="nil"/>
              <w:bottom w:val="single" w:sz="8" w:space="0" w:color="auto"/>
              <w:right w:val="single" w:sz="8" w:space="0" w:color="auto"/>
            </w:tcBorders>
            <w:noWrap/>
            <w:vAlign w:val="center"/>
            <w:hideMark/>
          </w:tcPr>
          <w:p w14:paraId="5C283A40"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1,466,828</w:t>
            </w:r>
          </w:p>
        </w:tc>
        <w:tc>
          <w:tcPr>
            <w:tcW w:w="2431" w:type="dxa"/>
            <w:tcBorders>
              <w:top w:val="nil"/>
              <w:left w:val="nil"/>
              <w:bottom w:val="single" w:sz="8" w:space="0" w:color="auto"/>
              <w:right w:val="single" w:sz="8" w:space="0" w:color="auto"/>
            </w:tcBorders>
            <w:vAlign w:val="center"/>
            <w:hideMark/>
          </w:tcPr>
          <w:p w14:paraId="0E4F9633"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1,588,405</w:t>
            </w:r>
          </w:p>
        </w:tc>
        <w:tc>
          <w:tcPr>
            <w:tcW w:w="1538" w:type="dxa"/>
            <w:tcBorders>
              <w:top w:val="single" w:sz="8" w:space="0" w:color="auto"/>
              <w:left w:val="nil"/>
              <w:bottom w:val="single" w:sz="8" w:space="0" w:color="auto"/>
              <w:right w:val="single" w:sz="4" w:space="0" w:color="auto"/>
            </w:tcBorders>
          </w:tcPr>
          <w:p w14:paraId="1E41DA0D" w14:textId="77777777" w:rsidR="00DF34D1" w:rsidRPr="002320EE" w:rsidRDefault="00DF34D1" w:rsidP="00432FAC">
            <w:pPr>
              <w:spacing w:after="0"/>
              <w:jc w:val="center"/>
              <w:rPr>
                <w:noProof/>
                <w:color w:val="196B24"/>
              </w:rPr>
            </w:pPr>
            <w:r>
              <w:rPr>
                <w:noProof/>
                <w:color w:val="196B24"/>
              </w:rPr>
              <w:t>121,577</w:t>
            </w:r>
          </w:p>
        </w:tc>
        <w:tc>
          <w:tcPr>
            <w:tcW w:w="1701" w:type="dxa"/>
            <w:tcBorders>
              <w:top w:val="nil"/>
              <w:left w:val="single" w:sz="4" w:space="0" w:color="auto"/>
              <w:bottom w:val="single" w:sz="8" w:space="0" w:color="auto"/>
              <w:right w:val="single" w:sz="8" w:space="0" w:color="auto"/>
            </w:tcBorders>
            <w:vAlign w:val="center"/>
          </w:tcPr>
          <w:p w14:paraId="5F56EF0D" w14:textId="77777777" w:rsidR="00DF34D1" w:rsidRPr="007073AD" w:rsidRDefault="00DF34D1" w:rsidP="00432FAC">
            <w:pPr>
              <w:spacing w:after="0"/>
              <w:jc w:val="center"/>
              <w:rPr>
                <w:rFonts w:eastAsia="Times New Roman"/>
                <w:noProof/>
                <w:lang w:eastAsia="en-IE"/>
              </w:rPr>
            </w:pPr>
            <w:r w:rsidRPr="002320EE">
              <w:rPr>
                <w:noProof/>
                <w:color w:val="196B24"/>
              </w:rPr>
              <w:t>8.29%</w:t>
            </w:r>
          </w:p>
        </w:tc>
      </w:tr>
      <w:tr w:rsidR="00DF34D1" w:rsidRPr="001B3326" w14:paraId="2E40FC57"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7D931C91" w14:textId="77777777" w:rsidR="00DF34D1" w:rsidRPr="007073AD" w:rsidRDefault="00DF34D1" w:rsidP="00432FAC">
            <w:pPr>
              <w:spacing w:after="0"/>
              <w:rPr>
                <w:rFonts w:eastAsia="Times New Roman"/>
                <w:b/>
                <w:noProof/>
                <w:lang w:eastAsia="en-IE"/>
              </w:rPr>
            </w:pPr>
            <w:r w:rsidRPr="007073AD">
              <w:rPr>
                <w:rFonts w:eastAsia="Times New Roman"/>
                <w:b/>
                <w:noProof/>
                <w:lang w:eastAsia="en-IE"/>
              </w:rPr>
              <w:t>EL</w:t>
            </w:r>
          </w:p>
        </w:tc>
        <w:tc>
          <w:tcPr>
            <w:tcW w:w="2566" w:type="dxa"/>
            <w:tcBorders>
              <w:top w:val="nil"/>
              <w:left w:val="nil"/>
              <w:bottom w:val="single" w:sz="8" w:space="0" w:color="auto"/>
              <w:right w:val="single" w:sz="8" w:space="0" w:color="auto"/>
            </w:tcBorders>
            <w:noWrap/>
            <w:vAlign w:val="center"/>
            <w:hideMark/>
          </w:tcPr>
          <w:p w14:paraId="0FBBDA71"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107,716</w:t>
            </w:r>
          </w:p>
        </w:tc>
        <w:tc>
          <w:tcPr>
            <w:tcW w:w="2431" w:type="dxa"/>
            <w:tcBorders>
              <w:top w:val="nil"/>
              <w:left w:val="nil"/>
              <w:bottom w:val="single" w:sz="8" w:space="0" w:color="auto"/>
              <w:right w:val="single" w:sz="8" w:space="0" w:color="auto"/>
            </w:tcBorders>
            <w:vAlign w:val="center"/>
            <w:hideMark/>
          </w:tcPr>
          <w:p w14:paraId="34B7ECF4"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119,941</w:t>
            </w:r>
          </w:p>
        </w:tc>
        <w:tc>
          <w:tcPr>
            <w:tcW w:w="1538" w:type="dxa"/>
            <w:tcBorders>
              <w:top w:val="single" w:sz="8" w:space="0" w:color="auto"/>
              <w:left w:val="nil"/>
              <w:bottom w:val="single" w:sz="8" w:space="0" w:color="auto"/>
              <w:right w:val="single" w:sz="4" w:space="0" w:color="auto"/>
            </w:tcBorders>
          </w:tcPr>
          <w:p w14:paraId="0F0A268F" w14:textId="77777777" w:rsidR="00DF34D1" w:rsidRPr="002320EE" w:rsidRDefault="00DF34D1" w:rsidP="00432FAC">
            <w:pPr>
              <w:spacing w:after="0"/>
              <w:jc w:val="center"/>
              <w:rPr>
                <w:noProof/>
                <w:color w:val="196B24"/>
              </w:rPr>
            </w:pPr>
            <w:r>
              <w:rPr>
                <w:noProof/>
                <w:color w:val="196B24"/>
              </w:rPr>
              <w:t>12,225</w:t>
            </w:r>
          </w:p>
        </w:tc>
        <w:tc>
          <w:tcPr>
            <w:tcW w:w="1701" w:type="dxa"/>
            <w:tcBorders>
              <w:top w:val="nil"/>
              <w:left w:val="single" w:sz="4" w:space="0" w:color="auto"/>
              <w:bottom w:val="single" w:sz="8" w:space="0" w:color="auto"/>
              <w:right w:val="single" w:sz="8" w:space="0" w:color="auto"/>
            </w:tcBorders>
            <w:vAlign w:val="center"/>
          </w:tcPr>
          <w:p w14:paraId="1375EE3B" w14:textId="77777777" w:rsidR="00DF34D1" w:rsidRPr="007073AD" w:rsidRDefault="00DF34D1" w:rsidP="00432FAC">
            <w:pPr>
              <w:spacing w:after="0"/>
              <w:jc w:val="center"/>
              <w:rPr>
                <w:rFonts w:eastAsia="Times New Roman"/>
                <w:noProof/>
                <w:lang w:eastAsia="en-IE"/>
              </w:rPr>
            </w:pPr>
            <w:r w:rsidRPr="002320EE">
              <w:rPr>
                <w:noProof/>
                <w:color w:val="196B24"/>
              </w:rPr>
              <w:t>11.35%</w:t>
            </w:r>
          </w:p>
        </w:tc>
      </w:tr>
      <w:tr w:rsidR="00DF34D1" w:rsidRPr="001B3326" w14:paraId="5204A594"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0E1D6435" w14:textId="77777777" w:rsidR="00DF34D1" w:rsidRPr="007073AD" w:rsidRDefault="00DF34D1" w:rsidP="00432FAC">
            <w:pPr>
              <w:spacing w:after="0"/>
              <w:rPr>
                <w:rFonts w:eastAsia="Times New Roman"/>
                <w:b/>
                <w:noProof/>
                <w:lang w:eastAsia="en-IE"/>
              </w:rPr>
            </w:pPr>
            <w:r w:rsidRPr="007073AD">
              <w:rPr>
                <w:rFonts w:eastAsia="Times New Roman"/>
                <w:b/>
                <w:noProof/>
                <w:lang w:eastAsia="en-IE"/>
              </w:rPr>
              <w:t>HU</w:t>
            </w:r>
          </w:p>
        </w:tc>
        <w:tc>
          <w:tcPr>
            <w:tcW w:w="2566" w:type="dxa"/>
            <w:tcBorders>
              <w:top w:val="nil"/>
              <w:left w:val="nil"/>
              <w:bottom w:val="single" w:sz="8" w:space="0" w:color="auto"/>
              <w:right w:val="single" w:sz="8" w:space="0" w:color="auto"/>
            </w:tcBorders>
            <w:noWrap/>
            <w:vAlign w:val="center"/>
            <w:hideMark/>
          </w:tcPr>
          <w:p w14:paraId="189A0D7D"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402,439</w:t>
            </w:r>
          </w:p>
        </w:tc>
        <w:tc>
          <w:tcPr>
            <w:tcW w:w="2431" w:type="dxa"/>
            <w:tcBorders>
              <w:top w:val="nil"/>
              <w:left w:val="nil"/>
              <w:bottom w:val="single" w:sz="8" w:space="0" w:color="auto"/>
              <w:right w:val="single" w:sz="8" w:space="0" w:color="auto"/>
            </w:tcBorders>
            <w:vAlign w:val="center"/>
            <w:hideMark/>
          </w:tcPr>
          <w:p w14:paraId="69042BC8"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404,659</w:t>
            </w:r>
          </w:p>
        </w:tc>
        <w:tc>
          <w:tcPr>
            <w:tcW w:w="1538" w:type="dxa"/>
            <w:tcBorders>
              <w:top w:val="single" w:sz="8" w:space="0" w:color="auto"/>
              <w:left w:val="nil"/>
              <w:bottom w:val="single" w:sz="8" w:space="0" w:color="auto"/>
              <w:right w:val="single" w:sz="4" w:space="0" w:color="auto"/>
            </w:tcBorders>
          </w:tcPr>
          <w:p w14:paraId="60107A69" w14:textId="77777777" w:rsidR="00DF34D1" w:rsidRPr="002320EE" w:rsidRDefault="00DF34D1" w:rsidP="00432FAC">
            <w:pPr>
              <w:spacing w:after="0"/>
              <w:jc w:val="center"/>
              <w:rPr>
                <w:noProof/>
                <w:color w:val="196B24"/>
              </w:rPr>
            </w:pPr>
            <w:r>
              <w:rPr>
                <w:noProof/>
                <w:color w:val="196B24"/>
              </w:rPr>
              <w:t>2,220</w:t>
            </w:r>
          </w:p>
        </w:tc>
        <w:tc>
          <w:tcPr>
            <w:tcW w:w="1701" w:type="dxa"/>
            <w:tcBorders>
              <w:top w:val="nil"/>
              <w:left w:val="single" w:sz="4" w:space="0" w:color="auto"/>
              <w:bottom w:val="single" w:sz="8" w:space="0" w:color="auto"/>
              <w:right w:val="single" w:sz="8" w:space="0" w:color="auto"/>
            </w:tcBorders>
            <w:vAlign w:val="center"/>
          </w:tcPr>
          <w:p w14:paraId="7334F76A" w14:textId="77777777" w:rsidR="00DF34D1" w:rsidRPr="007073AD" w:rsidRDefault="00DF34D1" w:rsidP="00432FAC">
            <w:pPr>
              <w:spacing w:after="0"/>
              <w:jc w:val="center"/>
              <w:rPr>
                <w:rFonts w:eastAsia="Times New Roman"/>
                <w:noProof/>
                <w:lang w:eastAsia="en-IE"/>
              </w:rPr>
            </w:pPr>
            <w:r w:rsidRPr="002320EE">
              <w:rPr>
                <w:noProof/>
                <w:color w:val="196B24"/>
              </w:rPr>
              <w:t>0.55%</w:t>
            </w:r>
          </w:p>
        </w:tc>
      </w:tr>
      <w:tr w:rsidR="00DF34D1" w:rsidRPr="001B3326" w14:paraId="617B1F3C"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1750F336" w14:textId="77777777" w:rsidR="00DF34D1" w:rsidRPr="007073AD" w:rsidRDefault="00DF34D1" w:rsidP="00432FAC">
            <w:pPr>
              <w:spacing w:after="0"/>
              <w:rPr>
                <w:rFonts w:eastAsia="Times New Roman"/>
                <w:b/>
                <w:noProof/>
                <w:lang w:eastAsia="en-IE"/>
              </w:rPr>
            </w:pPr>
            <w:r w:rsidRPr="007073AD">
              <w:rPr>
                <w:rFonts w:eastAsia="Times New Roman"/>
                <w:b/>
                <w:noProof/>
                <w:lang w:eastAsia="en-IE"/>
              </w:rPr>
              <w:t>IE</w:t>
            </w:r>
          </w:p>
        </w:tc>
        <w:tc>
          <w:tcPr>
            <w:tcW w:w="2566" w:type="dxa"/>
            <w:tcBorders>
              <w:top w:val="nil"/>
              <w:left w:val="nil"/>
              <w:bottom w:val="single" w:sz="8" w:space="0" w:color="auto"/>
              <w:right w:val="single" w:sz="8" w:space="0" w:color="auto"/>
            </w:tcBorders>
            <w:noWrap/>
            <w:vAlign w:val="center"/>
            <w:hideMark/>
          </w:tcPr>
          <w:p w14:paraId="178F2D4B"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254,526</w:t>
            </w:r>
          </w:p>
        </w:tc>
        <w:tc>
          <w:tcPr>
            <w:tcW w:w="2431" w:type="dxa"/>
            <w:tcBorders>
              <w:top w:val="nil"/>
              <w:left w:val="nil"/>
              <w:bottom w:val="single" w:sz="8" w:space="0" w:color="auto"/>
              <w:right w:val="single" w:sz="8" w:space="0" w:color="auto"/>
            </w:tcBorders>
            <w:vAlign w:val="center"/>
            <w:hideMark/>
          </w:tcPr>
          <w:p w14:paraId="6AC96571"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299,907</w:t>
            </w:r>
          </w:p>
        </w:tc>
        <w:tc>
          <w:tcPr>
            <w:tcW w:w="1538" w:type="dxa"/>
            <w:tcBorders>
              <w:top w:val="single" w:sz="8" w:space="0" w:color="auto"/>
              <w:left w:val="nil"/>
              <w:bottom w:val="single" w:sz="8" w:space="0" w:color="auto"/>
              <w:right w:val="single" w:sz="4" w:space="0" w:color="auto"/>
            </w:tcBorders>
          </w:tcPr>
          <w:p w14:paraId="4B45A007" w14:textId="77777777" w:rsidR="00DF34D1" w:rsidRPr="002320EE" w:rsidRDefault="00DF34D1" w:rsidP="00432FAC">
            <w:pPr>
              <w:spacing w:after="0"/>
              <w:jc w:val="center"/>
              <w:rPr>
                <w:noProof/>
                <w:color w:val="196B24"/>
              </w:rPr>
            </w:pPr>
            <w:r>
              <w:rPr>
                <w:noProof/>
                <w:color w:val="196B24"/>
              </w:rPr>
              <w:t>45,381</w:t>
            </w:r>
          </w:p>
        </w:tc>
        <w:tc>
          <w:tcPr>
            <w:tcW w:w="1701" w:type="dxa"/>
            <w:tcBorders>
              <w:top w:val="nil"/>
              <w:left w:val="single" w:sz="4" w:space="0" w:color="auto"/>
              <w:bottom w:val="single" w:sz="8" w:space="0" w:color="auto"/>
              <w:right w:val="single" w:sz="8" w:space="0" w:color="auto"/>
            </w:tcBorders>
            <w:vAlign w:val="center"/>
          </w:tcPr>
          <w:p w14:paraId="49190FAC" w14:textId="77777777" w:rsidR="00DF34D1" w:rsidRPr="007073AD" w:rsidRDefault="00DF34D1" w:rsidP="00432FAC">
            <w:pPr>
              <w:spacing w:after="0"/>
              <w:jc w:val="center"/>
              <w:rPr>
                <w:rFonts w:eastAsia="Times New Roman"/>
                <w:noProof/>
                <w:lang w:eastAsia="en-IE"/>
              </w:rPr>
            </w:pPr>
            <w:r w:rsidRPr="002320EE">
              <w:rPr>
                <w:noProof/>
                <w:color w:val="196B24"/>
              </w:rPr>
              <w:t>17.83%</w:t>
            </w:r>
          </w:p>
        </w:tc>
      </w:tr>
      <w:tr w:rsidR="00DF34D1" w:rsidRPr="001B3326" w14:paraId="508DB3E9"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4B6A3443"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IT</w:t>
            </w:r>
          </w:p>
        </w:tc>
        <w:tc>
          <w:tcPr>
            <w:tcW w:w="2566" w:type="dxa"/>
            <w:tcBorders>
              <w:top w:val="nil"/>
              <w:left w:val="nil"/>
              <w:bottom w:val="single" w:sz="8" w:space="0" w:color="auto"/>
              <w:right w:val="single" w:sz="8" w:space="0" w:color="auto"/>
            </w:tcBorders>
            <w:noWrap/>
            <w:vAlign w:val="center"/>
            <w:hideMark/>
          </w:tcPr>
          <w:p w14:paraId="4463C4A8"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1,282,101</w:t>
            </w:r>
          </w:p>
        </w:tc>
        <w:tc>
          <w:tcPr>
            <w:tcW w:w="2431" w:type="dxa"/>
            <w:tcBorders>
              <w:top w:val="nil"/>
              <w:left w:val="nil"/>
              <w:bottom w:val="single" w:sz="8" w:space="0" w:color="auto"/>
              <w:right w:val="single" w:sz="8" w:space="0" w:color="auto"/>
            </w:tcBorders>
            <w:vAlign w:val="center"/>
            <w:hideMark/>
          </w:tcPr>
          <w:p w14:paraId="427C4476"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1,500,000*</w:t>
            </w:r>
          </w:p>
        </w:tc>
        <w:tc>
          <w:tcPr>
            <w:tcW w:w="1538" w:type="dxa"/>
            <w:tcBorders>
              <w:top w:val="single" w:sz="8" w:space="0" w:color="auto"/>
              <w:left w:val="nil"/>
              <w:bottom w:val="single" w:sz="8" w:space="0" w:color="auto"/>
              <w:right w:val="single" w:sz="4" w:space="0" w:color="auto"/>
            </w:tcBorders>
          </w:tcPr>
          <w:p w14:paraId="345B3E22" w14:textId="77777777" w:rsidR="00DF34D1" w:rsidRPr="002320EE" w:rsidRDefault="00DF34D1" w:rsidP="00432FAC">
            <w:pPr>
              <w:spacing w:after="0"/>
              <w:jc w:val="center"/>
              <w:rPr>
                <w:noProof/>
                <w:color w:val="196B24"/>
              </w:rPr>
            </w:pPr>
            <w:r>
              <w:rPr>
                <w:noProof/>
                <w:color w:val="196B24"/>
              </w:rPr>
              <w:t>217,899</w:t>
            </w:r>
          </w:p>
        </w:tc>
        <w:tc>
          <w:tcPr>
            <w:tcW w:w="1701" w:type="dxa"/>
            <w:tcBorders>
              <w:top w:val="nil"/>
              <w:left w:val="single" w:sz="4" w:space="0" w:color="auto"/>
              <w:bottom w:val="single" w:sz="8" w:space="0" w:color="auto"/>
              <w:right w:val="single" w:sz="8" w:space="0" w:color="auto"/>
            </w:tcBorders>
            <w:vAlign w:val="center"/>
          </w:tcPr>
          <w:p w14:paraId="2B6B5AF8" w14:textId="77777777" w:rsidR="00DF34D1" w:rsidRPr="007073AD" w:rsidRDefault="00DF34D1" w:rsidP="00432FAC">
            <w:pPr>
              <w:spacing w:after="0"/>
              <w:jc w:val="center"/>
              <w:rPr>
                <w:rFonts w:eastAsia="Times New Roman"/>
                <w:noProof/>
                <w:lang w:eastAsia="en-IE"/>
              </w:rPr>
            </w:pPr>
            <w:r w:rsidRPr="002320EE">
              <w:rPr>
                <w:noProof/>
                <w:color w:val="196B24"/>
              </w:rPr>
              <w:t>17.00%</w:t>
            </w:r>
          </w:p>
        </w:tc>
      </w:tr>
      <w:tr w:rsidR="00DF34D1" w:rsidRPr="001B3326" w14:paraId="19C0022E"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673BC6FC"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LV</w:t>
            </w:r>
          </w:p>
        </w:tc>
        <w:tc>
          <w:tcPr>
            <w:tcW w:w="2566" w:type="dxa"/>
            <w:tcBorders>
              <w:top w:val="nil"/>
              <w:left w:val="nil"/>
              <w:bottom w:val="single" w:sz="8" w:space="0" w:color="auto"/>
              <w:right w:val="single" w:sz="8" w:space="0" w:color="auto"/>
            </w:tcBorders>
            <w:noWrap/>
            <w:vAlign w:val="center"/>
            <w:hideMark/>
          </w:tcPr>
          <w:p w14:paraId="7B4DAD7A"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131,858</w:t>
            </w:r>
          </w:p>
        </w:tc>
        <w:tc>
          <w:tcPr>
            <w:tcW w:w="2431" w:type="dxa"/>
            <w:tcBorders>
              <w:top w:val="nil"/>
              <w:left w:val="nil"/>
              <w:bottom w:val="single" w:sz="8" w:space="0" w:color="auto"/>
              <w:right w:val="single" w:sz="8" w:space="0" w:color="auto"/>
            </w:tcBorders>
            <w:vAlign w:val="center"/>
            <w:hideMark/>
          </w:tcPr>
          <w:p w14:paraId="6E050BCA"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134,962</w:t>
            </w:r>
          </w:p>
        </w:tc>
        <w:tc>
          <w:tcPr>
            <w:tcW w:w="1538" w:type="dxa"/>
            <w:tcBorders>
              <w:top w:val="single" w:sz="8" w:space="0" w:color="auto"/>
              <w:left w:val="nil"/>
              <w:bottom w:val="single" w:sz="8" w:space="0" w:color="auto"/>
              <w:right w:val="single" w:sz="4" w:space="0" w:color="auto"/>
            </w:tcBorders>
          </w:tcPr>
          <w:p w14:paraId="52A248EE" w14:textId="77777777" w:rsidR="00DF34D1" w:rsidRPr="002320EE" w:rsidRDefault="00DF34D1" w:rsidP="00432FAC">
            <w:pPr>
              <w:spacing w:after="0"/>
              <w:jc w:val="center"/>
              <w:rPr>
                <w:noProof/>
                <w:color w:val="196B24"/>
              </w:rPr>
            </w:pPr>
            <w:r>
              <w:rPr>
                <w:noProof/>
                <w:color w:val="196B24"/>
              </w:rPr>
              <w:t>3,104</w:t>
            </w:r>
          </w:p>
        </w:tc>
        <w:tc>
          <w:tcPr>
            <w:tcW w:w="1701" w:type="dxa"/>
            <w:tcBorders>
              <w:top w:val="nil"/>
              <w:left w:val="single" w:sz="4" w:space="0" w:color="auto"/>
              <w:bottom w:val="single" w:sz="8" w:space="0" w:color="auto"/>
              <w:right w:val="single" w:sz="8" w:space="0" w:color="auto"/>
            </w:tcBorders>
            <w:vAlign w:val="center"/>
          </w:tcPr>
          <w:p w14:paraId="36D4B8BD" w14:textId="77777777" w:rsidR="00DF34D1" w:rsidRPr="007073AD" w:rsidRDefault="00DF34D1" w:rsidP="00432FAC">
            <w:pPr>
              <w:spacing w:after="0"/>
              <w:jc w:val="center"/>
              <w:rPr>
                <w:rFonts w:eastAsia="Times New Roman"/>
                <w:noProof/>
                <w:lang w:eastAsia="en-IE"/>
              </w:rPr>
            </w:pPr>
            <w:r w:rsidRPr="002320EE">
              <w:rPr>
                <w:noProof/>
                <w:color w:val="196B24"/>
              </w:rPr>
              <w:t>2.35%</w:t>
            </w:r>
          </w:p>
        </w:tc>
      </w:tr>
      <w:tr w:rsidR="00DF34D1" w:rsidRPr="001B3326" w14:paraId="28D0D45D"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7620582E"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LT</w:t>
            </w:r>
          </w:p>
        </w:tc>
        <w:tc>
          <w:tcPr>
            <w:tcW w:w="2566" w:type="dxa"/>
            <w:tcBorders>
              <w:top w:val="nil"/>
              <w:left w:val="nil"/>
              <w:bottom w:val="single" w:sz="8" w:space="0" w:color="auto"/>
              <w:right w:val="single" w:sz="8" w:space="0" w:color="auto"/>
            </w:tcBorders>
            <w:noWrap/>
            <w:vAlign w:val="center"/>
            <w:hideMark/>
          </w:tcPr>
          <w:p w14:paraId="51E3C2C3"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124,122</w:t>
            </w:r>
          </w:p>
        </w:tc>
        <w:tc>
          <w:tcPr>
            <w:tcW w:w="2431" w:type="dxa"/>
            <w:tcBorders>
              <w:top w:val="nil"/>
              <w:left w:val="nil"/>
              <w:bottom w:val="single" w:sz="8" w:space="0" w:color="auto"/>
              <w:right w:val="single" w:sz="8" w:space="0" w:color="auto"/>
            </w:tcBorders>
            <w:vAlign w:val="center"/>
            <w:hideMark/>
          </w:tcPr>
          <w:p w14:paraId="29B39BF7"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201,228</w:t>
            </w:r>
          </w:p>
        </w:tc>
        <w:tc>
          <w:tcPr>
            <w:tcW w:w="1538" w:type="dxa"/>
            <w:tcBorders>
              <w:top w:val="single" w:sz="8" w:space="0" w:color="auto"/>
              <w:left w:val="nil"/>
              <w:bottom w:val="single" w:sz="8" w:space="0" w:color="auto"/>
              <w:right w:val="single" w:sz="4" w:space="0" w:color="auto"/>
            </w:tcBorders>
          </w:tcPr>
          <w:p w14:paraId="6A73267F" w14:textId="77777777" w:rsidR="00DF34D1" w:rsidRPr="002320EE" w:rsidRDefault="00DF34D1" w:rsidP="00432FAC">
            <w:pPr>
              <w:spacing w:after="0"/>
              <w:jc w:val="center"/>
              <w:rPr>
                <w:noProof/>
                <w:color w:val="196B24"/>
              </w:rPr>
            </w:pPr>
            <w:r>
              <w:rPr>
                <w:noProof/>
                <w:color w:val="196B24"/>
              </w:rPr>
              <w:t>77,106</w:t>
            </w:r>
          </w:p>
        </w:tc>
        <w:tc>
          <w:tcPr>
            <w:tcW w:w="1701" w:type="dxa"/>
            <w:tcBorders>
              <w:top w:val="nil"/>
              <w:left w:val="single" w:sz="4" w:space="0" w:color="auto"/>
              <w:bottom w:val="single" w:sz="8" w:space="0" w:color="auto"/>
              <w:right w:val="single" w:sz="8" w:space="0" w:color="auto"/>
            </w:tcBorders>
            <w:vAlign w:val="center"/>
          </w:tcPr>
          <w:p w14:paraId="5E98D92F" w14:textId="77777777" w:rsidR="00DF34D1" w:rsidRPr="007073AD" w:rsidRDefault="00DF34D1" w:rsidP="00432FAC">
            <w:pPr>
              <w:spacing w:after="0"/>
              <w:jc w:val="center"/>
              <w:rPr>
                <w:rFonts w:eastAsia="Times New Roman"/>
                <w:noProof/>
                <w:lang w:eastAsia="en-IE"/>
              </w:rPr>
            </w:pPr>
            <w:r w:rsidRPr="002320EE">
              <w:rPr>
                <w:noProof/>
                <w:color w:val="196B24"/>
              </w:rPr>
              <w:t>62.12%</w:t>
            </w:r>
          </w:p>
        </w:tc>
      </w:tr>
      <w:tr w:rsidR="00DF34D1" w:rsidRPr="001B3326" w14:paraId="0C10A6C5"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6E6FCA06"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LU</w:t>
            </w:r>
          </w:p>
        </w:tc>
        <w:tc>
          <w:tcPr>
            <w:tcW w:w="2566" w:type="dxa"/>
            <w:tcBorders>
              <w:top w:val="nil"/>
              <w:left w:val="nil"/>
              <w:bottom w:val="single" w:sz="8" w:space="0" w:color="auto"/>
              <w:right w:val="single" w:sz="8" w:space="0" w:color="auto"/>
            </w:tcBorders>
            <w:noWrap/>
            <w:vAlign w:val="center"/>
            <w:hideMark/>
          </w:tcPr>
          <w:p w14:paraId="51A64B01"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74,461</w:t>
            </w:r>
          </w:p>
        </w:tc>
        <w:tc>
          <w:tcPr>
            <w:tcW w:w="2431" w:type="dxa"/>
            <w:tcBorders>
              <w:top w:val="nil"/>
              <w:left w:val="nil"/>
              <w:bottom w:val="single" w:sz="8" w:space="0" w:color="auto"/>
              <w:right w:val="single" w:sz="8" w:space="0" w:color="auto"/>
            </w:tcBorders>
            <w:vAlign w:val="center"/>
            <w:hideMark/>
          </w:tcPr>
          <w:p w14:paraId="739844E5"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83,418</w:t>
            </w:r>
          </w:p>
        </w:tc>
        <w:tc>
          <w:tcPr>
            <w:tcW w:w="1538" w:type="dxa"/>
            <w:tcBorders>
              <w:top w:val="single" w:sz="8" w:space="0" w:color="auto"/>
              <w:left w:val="nil"/>
              <w:bottom w:val="single" w:sz="8" w:space="0" w:color="auto"/>
              <w:right w:val="single" w:sz="4" w:space="0" w:color="auto"/>
            </w:tcBorders>
          </w:tcPr>
          <w:p w14:paraId="3397F5BC" w14:textId="77777777" w:rsidR="00DF34D1" w:rsidRPr="002320EE" w:rsidRDefault="00DF34D1" w:rsidP="00432FAC">
            <w:pPr>
              <w:spacing w:after="0"/>
              <w:jc w:val="center"/>
              <w:rPr>
                <w:noProof/>
                <w:color w:val="196B24"/>
              </w:rPr>
            </w:pPr>
            <w:r>
              <w:rPr>
                <w:noProof/>
                <w:color w:val="196B24"/>
              </w:rPr>
              <w:t>8,957</w:t>
            </w:r>
          </w:p>
        </w:tc>
        <w:tc>
          <w:tcPr>
            <w:tcW w:w="1701" w:type="dxa"/>
            <w:tcBorders>
              <w:top w:val="nil"/>
              <w:left w:val="single" w:sz="4" w:space="0" w:color="auto"/>
              <w:bottom w:val="single" w:sz="8" w:space="0" w:color="auto"/>
              <w:right w:val="single" w:sz="8" w:space="0" w:color="auto"/>
            </w:tcBorders>
            <w:vAlign w:val="center"/>
          </w:tcPr>
          <w:p w14:paraId="67BB008A" w14:textId="77777777" w:rsidR="00DF34D1" w:rsidRPr="007073AD" w:rsidRDefault="00DF34D1" w:rsidP="00432FAC">
            <w:pPr>
              <w:spacing w:after="0"/>
              <w:jc w:val="center"/>
              <w:rPr>
                <w:rFonts w:eastAsia="Times New Roman"/>
                <w:noProof/>
                <w:lang w:eastAsia="en-IE"/>
              </w:rPr>
            </w:pPr>
            <w:r w:rsidRPr="002320EE">
              <w:rPr>
                <w:noProof/>
                <w:color w:val="196B24"/>
              </w:rPr>
              <w:t>12.03%</w:t>
            </w:r>
          </w:p>
        </w:tc>
      </w:tr>
      <w:tr w:rsidR="00DF34D1" w:rsidRPr="001B3326" w14:paraId="72981F0B"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75DA97F9"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MT</w:t>
            </w:r>
          </w:p>
        </w:tc>
        <w:tc>
          <w:tcPr>
            <w:tcW w:w="2566" w:type="dxa"/>
            <w:tcBorders>
              <w:top w:val="nil"/>
              <w:left w:val="nil"/>
              <w:bottom w:val="single" w:sz="8" w:space="0" w:color="auto"/>
              <w:right w:val="single" w:sz="8" w:space="0" w:color="auto"/>
            </w:tcBorders>
            <w:noWrap/>
            <w:vAlign w:val="center"/>
            <w:hideMark/>
          </w:tcPr>
          <w:p w14:paraId="5E052570"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49,493</w:t>
            </w:r>
          </w:p>
        </w:tc>
        <w:tc>
          <w:tcPr>
            <w:tcW w:w="2431" w:type="dxa"/>
            <w:tcBorders>
              <w:top w:val="nil"/>
              <w:left w:val="nil"/>
              <w:bottom w:val="single" w:sz="8" w:space="0" w:color="auto"/>
              <w:right w:val="single" w:sz="8" w:space="0" w:color="auto"/>
            </w:tcBorders>
            <w:vAlign w:val="center"/>
            <w:hideMark/>
          </w:tcPr>
          <w:p w14:paraId="067A2ECE"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60,671</w:t>
            </w:r>
          </w:p>
        </w:tc>
        <w:tc>
          <w:tcPr>
            <w:tcW w:w="1538" w:type="dxa"/>
            <w:tcBorders>
              <w:top w:val="single" w:sz="8" w:space="0" w:color="auto"/>
              <w:left w:val="nil"/>
              <w:bottom w:val="single" w:sz="8" w:space="0" w:color="auto"/>
              <w:right w:val="single" w:sz="4" w:space="0" w:color="auto"/>
            </w:tcBorders>
          </w:tcPr>
          <w:p w14:paraId="186244A5" w14:textId="77777777" w:rsidR="00DF34D1" w:rsidRPr="002320EE" w:rsidRDefault="00DF34D1" w:rsidP="00432FAC">
            <w:pPr>
              <w:spacing w:after="0"/>
              <w:jc w:val="center"/>
              <w:rPr>
                <w:noProof/>
                <w:color w:val="196B24"/>
              </w:rPr>
            </w:pPr>
            <w:r>
              <w:rPr>
                <w:noProof/>
                <w:color w:val="196B24"/>
              </w:rPr>
              <w:t>11,178</w:t>
            </w:r>
          </w:p>
        </w:tc>
        <w:tc>
          <w:tcPr>
            <w:tcW w:w="1701" w:type="dxa"/>
            <w:tcBorders>
              <w:top w:val="nil"/>
              <w:left w:val="single" w:sz="4" w:space="0" w:color="auto"/>
              <w:bottom w:val="single" w:sz="8" w:space="0" w:color="auto"/>
              <w:right w:val="single" w:sz="8" w:space="0" w:color="auto"/>
            </w:tcBorders>
            <w:vAlign w:val="center"/>
          </w:tcPr>
          <w:p w14:paraId="0CF01D13" w14:textId="77777777" w:rsidR="00DF34D1" w:rsidRPr="007073AD" w:rsidRDefault="00DF34D1" w:rsidP="00432FAC">
            <w:pPr>
              <w:spacing w:after="0"/>
              <w:jc w:val="center"/>
              <w:rPr>
                <w:rFonts w:eastAsia="Times New Roman"/>
                <w:noProof/>
                <w:lang w:eastAsia="en-IE"/>
              </w:rPr>
            </w:pPr>
            <w:r w:rsidRPr="002320EE">
              <w:rPr>
                <w:noProof/>
                <w:color w:val="196B24"/>
              </w:rPr>
              <w:t>22.59%</w:t>
            </w:r>
          </w:p>
        </w:tc>
      </w:tr>
      <w:tr w:rsidR="00DF34D1" w:rsidRPr="001B3326" w14:paraId="633E6639"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50EBCB3A"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NL</w:t>
            </w:r>
          </w:p>
        </w:tc>
        <w:tc>
          <w:tcPr>
            <w:tcW w:w="2566" w:type="dxa"/>
            <w:tcBorders>
              <w:top w:val="nil"/>
              <w:left w:val="nil"/>
              <w:bottom w:val="single" w:sz="8" w:space="0" w:color="auto"/>
              <w:right w:val="single" w:sz="8" w:space="0" w:color="auto"/>
            </w:tcBorders>
            <w:noWrap/>
            <w:vAlign w:val="center"/>
            <w:hideMark/>
          </w:tcPr>
          <w:p w14:paraId="00E04F02"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1,140,033</w:t>
            </w:r>
          </w:p>
        </w:tc>
        <w:tc>
          <w:tcPr>
            <w:tcW w:w="2431" w:type="dxa"/>
            <w:tcBorders>
              <w:top w:val="nil"/>
              <w:left w:val="nil"/>
              <w:bottom w:val="single" w:sz="8" w:space="0" w:color="auto"/>
              <w:right w:val="single" w:sz="8" w:space="0" w:color="auto"/>
            </w:tcBorders>
            <w:vAlign w:val="center"/>
            <w:hideMark/>
          </w:tcPr>
          <w:p w14:paraId="3843B886"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1,223,132</w:t>
            </w:r>
          </w:p>
        </w:tc>
        <w:tc>
          <w:tcPr>
            <w:tcW w:w="1538" w:type="dxa"/>
            <w:tcBorders>
              <w:top w:val="single" w:sz="8" w:space="0" w:color="auto"/>
              <w:left w:val="nil"/>
              <w:bottom w:val="single" w:sz="8" w:space="0" w:color="auto"/>
              <w:right w:val="single" w:sz="4" w:space="0" w:color="auto"/>
            </w:tcBorders>
          </w:tcPr>
          <w:p w14:paraId="190ABA62" w14:textId="77777777" w:rsidR="00DF34D1" w:rsidRPr="002320EE" w:rsidRDefault="00DF34D1" w:rsidP="00432FAC">
            <w:pPr>
              <w:spacing w:after="0"/>
              <w:jc w:val="center"/>
              <w:rPr>
                <w:noProof/>
                <w:color w:val="196B24"/>
              </w:rPr>
            </w:pPr>
            <w:r>
              <w:rPr>
                <w:noProof/>
                <w:color w:val="196B24"/>
              </w:rPr>
              <w:t>83,099</w:t>
            </w:r>
          </w:p>
        </w:tc>
        <w:tc>
          <w:tcPr>
            <w:tcW w:w="1701" w:type="dxa"/>
            <w:tcBorders>
              <w:top w:val="nil"/>
              <w:left w:val="single" w:sz="4" w:space="0" w:color="auto"/>
              <w:bottom w:val="single" w:sz="8" w:space="0" w:color="auto"/>
              <w:right w:val="single" w:sz="8" w:space="0" w:color="auto"/>
            </w:tcBorders>
            <w:vAlign w:val="center"/>
          </w:tcPr>
          <w:p w14:paraId="4B9D0E67" w14:textId="77777777" w:rsidR="00DF34D1" w:rsidRPr="007073AD" w:rsidRDefault="00DF34D1" w:rsidP="00432FAC">
            <w:pPr>
              <w:spacing w:after="0"/>
              <w:jc w:val="center"/>
              <w:rPr>
                <w:rFonts w:eastAsia="Times New Roman"/>
                <w:noProof/>
                <w:lang w:eastAsia="en-IE"/>
              </w:rPr>
            </w:pPr>
            <w:r w:rsidRPr="002320EE">
              <w:rPr>
                <w:noProof/>
                <w:color w:val="196B24"/>
              </w:rPr>
              <w:t>7.29%</w:t>
            </w:r>
          </w:p>
        </w:tc>
      </w:tr>
      <w:tr w:rsidR="00DF34D1" w:rsidRPr="001B3326" w14:paraId="5CBC6476"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6BE48C9E"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PL</w:t>
            </w:r>
          </w:p>
        </w:tc>
        <w:tc>
          <w:tcPr>
            <w:tcW w:w="2566" w:type="dxa"/>
            <w:tcBorders>
              <w:top w:val="nil"/>
              <w:left w:val="nil"/>
              <w:bottom w:val="single" w:sz="8" w:space="0" w:color="auto"/>
              <w:right w:val="single" w:sz="8" w:space="0" w:color="auto"/>
            </w:tcBorders>
            <w:noWrap/>
            <w:vAlign w:val="center"/>
            <w:hideMark/>
          </w:tcPr>
          <w:p w14:paraId="39F38987"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449,754</w:t>
            </w:r>
          </w:p>
        </w:tc>
        <w:tc>
          <w:tcPr>
            <w:tcW w:w="2431" w:type="dxa"/>
            <w:tcBorders>
              <w:top w:val="nil"/>
              <w:left w:val="nil"/>
              <w:bottom w:val="single" w:sz="8" w:space="0" w:color="auto"/>
              <w:right w:val="single" w:sz="8" w:space="0" w:color="auto"/>
            </w:tcBorders>
            <w:vAlign w:val="center"/>
            <w:hideMark/>
          </w:tcPr>
          <w:p w14:paraId="4EEFCAE5"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586,100</w:t>
            </w:r>
          </w:p>
        </w:tc>
        <w:tc>
          <w:tcPr>
            <w:tcW w:w="1538" w:type="dxa"/>
            <w:tcBorders>
              <w:top w:val="single" w:sz="8" w:space="0" w:color="auto"/>
              <w:left w:val="nil"/>
              <w:bottom w:val="single" w:sz="8" w:space="0" w:color="auto"/>
              <w:right w:val="single" w:sz="4" w:space="0" w:color="auto"/>
            </w:tcBorders>
          </w:tcPr>
          <w:p w14:paraId="60479EA3" w14:textId="77777777" w:rsidR="00DF34D1" w:rsidRPr="002320EE" w:rsidRDefault="00DF34D1" w:rsidP="00432FAC">
            <w:pPr>
              <w:spacing w:after="0"/>
              <w:jc w:val="center"/>
              <w:rPr>
                <w:noProof/>
                <w:color w:val="196B24"/>
              </w:rPr>
            </w:pPr>
            <w:r>
              <w:rPr>
                <w:noProof/>
                <w:color w:val="196B24"/>
              </w:rPr>
              <w:t>136,346</w:t>
            </w:r>
          </w:p>
        </w:tc>
        <w:tc>
          <w:tcPr>
            <w:tcW w:w="1701" w:type="dxa"/>
            <w:tcBorders>
              <w:top w:val="nil"/>
              <w:left w:val="single" w:sz="4" w:space="0" w:color="auto"/>
              <w:bottom w:val="single" w:sz="8" w:space="0" w:color="auto"/>
              <w:right w:val="single" w:sz="8" w:space="0" w:color="auto"/>
            </w:tcBorders>
            <w:vAlign w:val="center"/>
          </w:tcPr>
          <w:p w14:paraId="369DBF30" w14:textId="77777777" w:rsidR="00DF34D1" w:rsidRPr="007073AD" w:rsidRDefault="00DF34D1" w:rsidP="00432FAC">
            <w:pPr>
              <w:spacing w:after="0"/>
              <w:jc w:val="center"/>
              <w:rPr>
                <w:rFonts w:eastAsia="Times New Roman"/>
                <w:noProof/>
                <w:lang w:eastAsia="en-IE"/>
              </w:rPr>
            </w:pPr>
            <w:r w:rsidRPr="002320EE">
              <w:rPr>
                <w:noProof/>
                <w:color w:val="196B24"/>
              </w:rPr>
              <w:t>30.32%</w:t>
            </w:r>
          </w:p>
        </w:tc>
      </w:tr>
      <w:tr w:rsidR="00DF34D1" w:rsidRPr="001B3326" w14:paraId="255E92D7"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4266DC68"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PT</w:t>
            </w:r>
          </w:p>
        </w:tc>
        <w:tc>
          <w:tcPr>
            <w:tcW w:w="2566" w:type="dxa"/>
            <w:tcBorders>
              <w:top w:val="nil"/>
              <w:left w:val="nil"/>
              <w:bottom w:val="single" w:sz="8" w:space="0" w:color="auto"/>
              <w:right w:val="single" w:sz="8" w:space="0" w:color="auto"/>
            </w:tcBorders>
            <w:noWrap/>
            <w:vAlign w:val="center"/>
            <w:hideMark/>
          </w:tcPr>
          <w:p w14:paraId="7F225DF1"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616,550</w:t>
            </w:r>
          </w:p>
        </w:tc>
        <w:tc>
          <w:tcPr>
            <w:tcW w:w="2431" w:type="dxa"/>
            <w:tcBorders>
              <w:top w:val="nil"/>
              <w:left w:val="nil"/>
              <w:bottom w:val="single" w:sz="8" w:space="0" w:color="auto"/>
              <w:right w:val="single" w:sz="8" w:space="0" w:color="auto"/>
            </w:tcBorders>
            <w:vAlign w:val="center"/>
            <w:hideMark/>
          </w:tcPr>
          <w:p w14:paraId="647AD06C"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716,278</w:t>
            </w:r>
          </w:p>
        </w:tc>
        <w:tc>
          <w:tcPr>
            <w:tcW w:w="1538" w:type="dxa"/>
            <w:tcBorders>
              <w:top w:val="single" w:sz="8" w:space="0" w:color="auto"/>
              <w:left w:val="nil"/>
              <w:bottom w:val="single" w:sz="8" w:space="0" w:color="auto"/>
              <w:right w:val="single" w:sz="4" w:space="0" w:color="auto"/>
            </w:tcBorders>
          </w:tcPr>
          <w:p w14:paraId="569AB266" w14:textId="77777777" w:rsidR="00DF34D1" w:rsidRPr="002320EE" w:rsidRDefault="00DF34D1" w:rsidP="00432FAC">
            <w:pPr>
              <w:spacing w:after="0"/>
              <w:jc w:val="center"/>
              <w:rPr>
                <w:noProof/>
                <w:color w:val="196B24"/>
              </w:rPr>
            </w:pPr>
            <w:r>
              <w:rPr>
                <w:noProof/>
                <w:color w:val="196B24"/>
              </w:rPr>
              <w:t>99,728</w:t>
            </w:r>
          </w:p>
        </w:tc>
        <w:tc>
          <w:tcPr>
            <w:tcW w:w="1701" w:type="dxa"/>
            <w:tcBorders>
              <w:top w:val="nil"/>
              <w:left w:val="single" w:sz="4" w:space="0" w:color="auto"/>
              <w:bottom w:val="single" w:sz="8" w:space="0" w:color="auto"/>
              <w:right w:val="single" w:sz="8" w:space="0" w:color="auto"/>
            </w:tcBorders>
            <w:vAlign w:val="center"/>
          </w:tcPr>
          <w:p w14:paraId="07BAD3DE" w14:textId="77777777" w:rsidR="00DF34D1" w:rsidRPr="007073AD" w:rsidRDefault="00DF34D1" w:rsidP="00432FAC">
            <w:pPr>
              <w:spacing w:after="0"/>
              <w:jc w:val="center"/>
              <w:rPr>
                <w:rFonts w:eastAsia="Times New Roman"/>
                <w:noProof/>
                <w:lang w:eastAsia="en-IE"/>
              </w:rPr>
            </w:pPr>
            <w:r w:rsidRPr="002320EE">
              <w:rPr>
                <w:noProof/>
                <w:color w:val="196B24"/>
              </w:rPr>
              <w:t>16.18%</w:t>
            </w:r>
          </w:p>
        </w:tc>
      </w:tr>
      <w:tr w:rsidR="00DF34D1" w:rsidRPr="001B3326" w14:paraId="05AF790B"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3833F582"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RO</w:t>
            </w:r>
          </w:p>
        </w:tc>
        <w:tc>
          <w:tcPr>
            <w:tcW w:w="2566" w:type="dxa"/>
            <w:tcBorders>
              <w:top w:val="nil"/>
              <w:left w:val="nil"/>
              <w:bottom w:val="single" w:sz="8" w:space="0" w:color="auto"/>
              <w:right w:val="single" w:sz="8" w:space="0" w:color="auto"/>
            </w:tcBorders>
            <w:noWrap/>
            <w:vAlign w:val="center"/>
            <w:hideMark/>
          </w:tcPr>
          <w:p w14:paraId="3C5E46EE"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1,307,886</w:t>
            </w:r>
          </w:p>
        </w:tc>
        <w:tc>
          <w:tcPr>
            <w:tcW w:w="2431" w:type="dxa"/>
            <w:tcBorders>
              <w:top w:val="nil"/>
              <w:left w:val="nil"/>
              <w:bottom w:val="single" w:sz="8" w:space="0" w:color="auto"/>
              <w:right w:val="single" w:sz="8" w:space="0" w:color="auto"/>
            </w:tcBorders>
            <w:vAlign w:val="center"/>
            <w:hideMark/>
          </w:tcPr>
          <w:p w14:paraId="07D3F5FA"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1,200,000*</w:t>
            </w:r>
          </w:p>
        </w:tc>
        <w:tc>
          <w:tcPr>
            <w:tcW w:w="1538" w:type="dxa"/>
            <w:tcBorders>
              <w:top w:val="single" w:sz="8" w:space="0" w:color="auto"/>
              <w:left w:val="nil"/>
              <w:bottom w:val="single" w:sz="8" w:space="0" w:color="auto"/>
              <w:right w:val="single" w:sz="4" w:space="0" w:color="auto"/>
            </w:tcBorders>
          </w:tcPr>
          <w:p w14:paraId="69901F4E" w14:textId="77777777" w:rsidR="00DF34D1" w:rsidRPr="002320EE" w:rsidRDefault="00DF34D1" w:rsidP="00432FAC">
            <w:pPr>
              <w:spacing w:after="0"/>
              <w:jc w:val="center"/>
              <w:rPr>
                <w:noProof/>
                <w:color w:val="FF0000"/>
              </w:rPr>
            </w:pPr>
            <w:r>
              <w:rPr>
                <w:noProof/>
                <w:color w:val="FF0000"/>
              </w:rPr>
              <w:t>-107,886</w:t>
            </w:r>
          </w:p>
        </w:tc>
        <w:tc>
          <w:tcPr>
            <w:tcW w:w="1701" w:type="dxa"/>
            <w:tcBorders>
              <w:top w:val="nil"/>
              <w:left w:val="single" w:sz="4" w:space="0" w:color="auto"/>
              <w:bottom w:val="single" w:sz="8" w:space="0" w:color="auto"/>
              <w:right w:val="single" w:sz="8" w:space="0" w:color="auto"/>
            </w:tcBorders>
            <w:vAlign w:val="center"/>
          </w:tcPr>
          <w:p w14:paraId="590DE8F9" w14:textId="77777777" w:rsidR="00DF34D1" w:rsidRPr="007073AD" w:rsidRDefault="00DF34D1" w:rsidP="00432FAC">
            <w:pPr>
              <w:spacing w:after="0"/>
              <w:jc w:val="center"/>
              <w:rPr>
                <w:rFonts w:eastAsia="Times New Roman"/>
                <w:noProof/>
                <w:lang w:eastAsia="en-IE"/>
              </w:rPr>
            </w:pPr>
            <w:r w:rsidRPr="002320EE">
              <w:rPr>
                <w:noProof/>
                <w:color w:val="FF0000"/>
              </w:rPr>
              <w:t>-8.25%</w:t>
            </w:r>
          </w:p>
        </w:tc>
      </w:tr>
      <w:tr w:rsidR="00DF34D1" w:rsidRPr="001B3326" w14:paraId="7D9D5F70"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37C353A5"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SK</w:t>
            </w:r>
          </w:p>
        </w:tc>
        <w:tc>
          <w:tcPr>
            <w:tcW w:w="2566" w:type="dxa"/>
            <w:tcBorders>
              <w:top w:val="nil"/>
              <w:left w:val="nil"/>
              <w:bottom w:val="single" w:sz="8" w:space="0" w:color="auto"/>
              <w:right w:val="single" w:sz="8" w:space="0" w:color="auto"/>
            </w:tcBorders>
            <w:noWrap/>
            <w:vAlign w:val="center"/>
            <w:hideMark/>
          </w:tcPr>
          <w:p w14:paraId="5B6CA0B4"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315,803</w:t>
            </w:r>
          </w:p>
        </w:tc>
        <w:tc>
          <w:tcPr>
            <w:tcW w:w="2431" w:type="dxa"/>
            <w:tcBorders>
              <w:top w:val="nil"/>
              <w:left w:val="nil"/>
              <w:bottom w:val="single" w:sz="8" w:space="0" w:color="auto"/>
              <w:right w:val="single" w:sz="8" w:space="0" w:color="auto"/>
            </w:tcBorders>
            <w:vAlign w:val="center"/>
            <w:hideMark/>
          </w:tcPr>
          <w:p w14:paraId="715E0955"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363,658</w:t>
            </w:r>
          </w:p>
        </w:tc>
        <w:tc>
          <w:tcPr>
            <w:tcW w:w="1538" w:type="dxa"/>
            <w:tcBorders>
              <w:top w:val="single" w:sz="8" w:space="0" w:color="auto"/>
              <w:left w:val="nil"/>
              <w:bottom w:val="single" w:sz="8" w:space="0" w:color="auto"/>
              <w:right w:val="single" w:sz="4" w:space="0" w:color="auto"/>
            </w:tcBorders>
          </w:tcPr>
          <w:p w14:paraId="3F98E9F4" w14:textId="77777777" w:rsidR="00DF34D1" w:rsidRPr="002320EE" w:rsidRDefault="00DF34D1" w:rsidP="00432FAC">
            <w:pPr>
              <w:spacing w:after="0"/>
              <w:jc w:val="center"/>
              <w:rPr>
                <w:noProof/>
                <w:color w:val="196B24"/>
              </w:rPr>
            </w:pPr>
            <w:r>
              <w:rPr>
                <w:noProof/>
                <w:color w:val="196B24"/>
              </w:rPr>
              <w:t>47,855</w:t>
            </w:r>
          </w:p>
        </w:tc>
        <w:tc>
          <w:tcPr>
            <w:tcW w:w="1701" w:type="dxa"/>
            <w:tcBorders>
              <w:top w:val="nil"/>
              <w:left w:val="single" w:sz="4" w:space="0" w:color="auto"/>
              <w:bottom w:val="single" w:sz="8" w:space="0" w:color="auto"/>
              <w:right w:val="single" w:sz="8" w:space="0" w:color="auto"/>
            </w:tcBorders>
            <w:vAlign w:val="center"/>
          </w:tcPr>
          <w:p w14:paraId="68541B04" w14:textId="77777777" w:rsidR="00DF34D1" w:rsidRPr="007073AD" w:rsidRDefault="00DF34D1" w:rsidP="00432FAC">
            <w:pPr>
              <w:spacing w:after="0"/>
              <w:jc w:val="center"/>
              <w:rPr>
                <w:rFonts w:eastAsia="Times New Roman"/>
                <w:noProof/>
                <w:lang w:eastAsia="en-IE"/>
              </w:rPr>
            </w:pPr>
            <w:r w:rsidRPr="002320EE">
              <w:rPr>
                <w:noProof/>
                <w:color w:val="196B24"/>
              </w:rPr>
              <w:t>15.15%</w:t>
            </w:r>
          </w:p>
        </w:tc>
      </w:tr>
      <w:tr w:rsidR="00DF34D1" w:rsidRPr="001B3326" w14:paraId="782B4505"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1963369D"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SI</w:t>
            </w:r>
          </w:p>
        </w:tc>
        <w:tc>
          <w:tcPr>
            <w:tcW w:w="2566" w:type="dxa"/>
            <w:tcBorders>
              <w:top w:val="nil"/>
              <w:left w:val="nil"/>
              <w:bottom w:val="single" w:sz="8" w:space="0" w:color="auto"/>
              <w:right w:val="single" w:sz="8" w:space="0" w:color="auto"/>
            </w:tcBorders>
            <w:noWrap/>
            <w:vAlign w:val="center"/>
            <w:hideMark/>
          </w:tcPr>
          <w:p w14:paraId="0E32E04F"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72,258</w:t>
            </w:r>
          </w:p>
        </w:tc>
        <w:tc>
          <w:tcPr>
            <w:tcW w:w="2431" w:type="dxa"/>
            <w:tcBorders>
              <w:top w:val="nil"/>
              <w:left w:val="nil"/>
              <w:bottom w:val="single" w:sz="8" w:space="0" w:color="auto"/>
              <w:right w:val="single" w:sz="8" w:space="0" w:color="auto"/>
            </w:tcBorders>
            <w:vAlign w:val="center"/>
            <w:hideMark/>
          </w:tcPr>
          <w:p w14:paraId="50D3DDD0"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76,773</w:t>
            </w:r>
          </w:p>
        </w:tc>
        <w:tc>
          <w:tcPr>
            <w:tcW w:w="1538" w:type="dxa"/>
            <w:tcBorders>
              <w:top w:val="single" w:sz="8" w:space="0" w:color="auto"/>
              <w:left w:val="nil"/>
              <w:bottom w:val="single" w:sz="8" w:space="0" w:color="auto"/>
              <w:right w:val="single" w:sz="4" w:space="0" w:color="auto"/>
            </w:tcBorders>
          </w:tcPr>
          <w:p w14:paraId="6AF1475B" w14:textId="77777777" w:rsidR="00DF34D1" w:rsidRPr="002320EE" w:rsidRDefault="00DF34D1" w:rsidP="00432FAC">
            <w:pPr>
              <w:spacing w:after="0"/>
              <w:jc w:val="center"/>
              <w:rPr>
                <w:noProof/>
                <w:color w:val="196B24"/>
              </w:rPr>
            </w:pPr>
            <w:r>
              <w:rPr>
                <w:noProof/>
                <w:color w:val="196B24"/>
              </w:rPr>
              <w:t>4,515</w:t>
            </w:r>
          </w:p>
        </w:tc>
        <w:tc>
          <w:tcPr>
            <w:tcW w:w="1701" w:type="dxa"/>
            <w:tcBorders>
              <w:top w:val="nil"/>
              <w:left w:val="single" w:sz="4" w:space="0" w:color="auto"/>
              <w:bottom w:val="single" w:sz="8" w:space="0" w:color="auto"/>
              <w:right w:val="single" w:sz="8" w:space="0" w:color="auto"/>
            </w:tcBorders>
            <w:vAlign w:val="center"/>
          </w:tcPr>
          <w:p w14:paraId="454B633F" w14:textId="77777777" w:rsidR="00DF34D1" w:rsidRPr="007073AD" w:rsidRDefault="00DF34D1" w:rsidP="00432FAC">
            <w:pPr>
              <w:spacing w:after="0"/>
              <w:jc w:val="center"/>
              <w:rPr>
                <w:rFonts w:eastAsia="Times New Roman"/>
                <w:noProof/>
                <w:lang w:eastAsia="en-IE"/>
              </w:rPr>
            </w:pPr>
            <w:r w:rsidRPr="002320EE">
              <w:rPr>
                <w:noProof/>
                <w:color w:val="196B24"/>
              </w:rPr>
              <w:t>6.25%</w:t>
            </w:r>
          </w:p>
        </w:tc>
      </w:tr>
      <w:tr w:rsidR="00DF34D1" w:rsidRPr="001B3326" w14:paraId="1FEB28D1"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2F03C88E" w14:textId="77777777" w:rsidR="00DF34D1" w:rsidRPr="007073AD" w:rsidRDefault="00DF34D1" w:rsidP="00432FAC">
            <w:pPr>
              <w:spacing w:after="0"/>
              <w:rPr>
                <w:rFonts w:eastAsia="Times New Roman"/>
                <w:b/>
                <w:noProof/>
                <w:color w:val="000000"/>
                <w:lang w:eastAsia="en-IE"/>
              </w:rPr>
            </w:pPr>
            <w:r w:rsidRPr="007073AD">
              <w:rPr>
                <w:rFonts w:eastAsia="Times New Roman"/>
                <w:b/>
                <w:noProof/>
                <w:color w:val="000000"/>
                <w:lang w:eastAsia="en-IE"/>
              </w:rPr>
              <w:t>ES</w:t>
            </w:r>
          </w:p>
        </w:tc>
        <w:tc>
          <w:tcPr>
            <w:tcW w:w="2566" w:type="dxa"/>
            <w:tcBorders>
              <w:top w:val="nil"/>
              <w:left w:val="nil"/>
              <w:bottom w:val="single" w:sz="8" w:space="0" w:color="auto"/>
              <w:right w:val="single" w:sz="8" w:space="0" w:color="auto"/>
            </w:tcBorders>
            <w:noWrap/>
            <w:vAlign w:val="center"/>
            <w:hideMark/>
          </w:tcPr>
          <w:p w14:paraId="3F31AD41"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977,711</w:t>
            </w:r>
          </w:p>
        </w:tc>
        <w:tc>
          <w:tcPr>
            <w:tcW w:w="2431" w:type="dxa"/>
            <w:tcBorders>
              <w:top w:val="nil"/>
              <w:left w:val="nil"/>
              <w:bottom w:val="single" w:sz="8" w:space="0" w:color="auto"/>
              <w:right w:val="single" w:sz="8" w:space="0" w:color="auto"/>
            </w:tcBorders>
            <w:vAlign w:val="center"/>
            <w:hideMark/>
          </w:tcPr>
          <w:p w14:paraId="6FD05CE5"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1,500,000*</w:t>
            </w:r>
          </w:p>
        </w:tc>
        <w:tc>
          <w:tcPr>
            <w:tcW w:w="1538" w:type="dxa"/>
            <w:tcBorders>
              <w:top w:val="single" w:sz="8" w:space="0" w:color="auto"/>
              <w:left w:val="nil"/>
              <w:bottom w:val="single" w:sz="8" w:space="0" w:color="auto"/>
              <w:right w:val="single" w:sz="4" w:space="0" w:color="auto"/>
            </w:tcBorders>
          </w:tcPr>
          <w:p w14:paraId="2788A591" w14:textId="77777777" w:rsidR="00DF34D1" w:rsidRPr="002320EE" w:rsidRDefault="00DF34D1" w:rsidP="00432FAC">
            <w:pPr>
              <w:spacing w:after="0"/>
              <w:jc w:val="center"/>
              <w:rPr>
                <w:noProof/>
                <w:color w:val="196B24"/>
              </w:rPr>
            </w:pPr>
            <w:r>
              <w:rPr>
                <w:noProof/>
                <w:color w:val="196B24"/>
              </w:rPr>
              <w:t>522,289</w:t>
            </w:r>
          </w:p>
        </w:tc>
        <w:tc>
          <w:tcPr>
            <w:tcW w:w="1701" w:type="dxa"/>
            <w:tcBorders>
              <w:top w:val="nil"/>
              <w:left w:val="single" w:sz="4" w:space="0" w:color="auto"/>
              <w:bottom w:val="single" w:sz="8" w:space="0" w:color="auto"/>
              <w:right w:val="single" w:sz="8" w:space="0" w:color="auto"/>
            </w:tcBorders>
            <w:vAlign w:val="center"/>
          </w:tcPr>
          <w:p w14:paraId="40448690" w14:textId="77777777" w:rsidR="00DF34D1" w:rsidRPr="007073AD" w:rsidRDefault="00DF34D1" w:rsidP="00432FAC">
            <w:pPr>
              <w:spacing w:after="0"/>
              <w:jc w:val="center"/>
              <w:rPr>
                <w:rFonts w:eastAsia="Times New Roman"/>
                <w:noProof/>
                <w:lang w:eastAsia="en-IE"/>
              </w:rPr>
            </w:pPr>
            <w:r w:rsidRPr="002320EE">
              <w:rPr>
                <w:noProof/>
                <w:color w:val="196B24"/>
              </w:rPr>
              <w:t>53.42%</w:t>
            </w:r>
          </w:p>
        </w:tc>
      </w:tr>
      <w:tr w:rsidR="00DF34D1" w:rsidRPr="001B3326" w14:paraId="459E5228" w14:textId="77777777" w:rsidTr="00432FAC">
        <w:trPr>
          <w:trHeight w:val="320"/>
          <w:jc w:val="center"/>
        </w:trPr>
        <w:tc>
          <w:tcPr>
            <w:tcW w:w="1110" w:type="dxa"/>
            <w:tcBorders>
              <w:top w:val="nil"/>
              <w:left w:val="single" w:sz="8" w:space="0" w:color="auto"/>
              <w:bottom w:val="single" w:sz="8" w:space="0" w:color="auto"/>
              <w:right w:val="single" w:sz="8" w:space="0" w:color="auto"/>
            </w:tcBorders>
            <w:noWrap/>
            <w:vAlign w:val="center"/>
            <w:hideMark/>
          </w:tcPr>
          <w:p w14:paraId="1B899FFC" w14:textId="77777777" w:rsidR="00DF34D1" w:rsidRPr="007073AD" w:rsidRDefault="00DF34D1" w:rsidP="00432FAC">
            <w:pPr>
              <w:spacing w:after="0"/>
              <w:rPr>
                <w:rFonts w:eastAsia="Times New Roman"/>
                <w:b/>
                <w:noProof/>
                <w:color w:val="156082"/>
                <w:lang w:eastAsia="en-IE"/>
              </w:rPr>
            </w:pPr>
            <w:r w:rsidRPr="007073AD">
              <w:rPr>
                <w:rFonts w:eastAsia="Times New Roman"/>
                <w:b/>
                <w:noProof/>
                <w:lang w:eastAsia="en-IE"/>
              </w:rPr>
              <w:t>SE</w:t>
            </w:r>
          </w:p>
        </w:tc>
        <w:tc>
          <w:tcPr>
            <w:tcW w:w="2566" w:type="dxa"/>
            <w:tcBorders>
              <w:top w:val="nil"/>
              <w:left w:val="nil"/>
              <w:bottom w:val="single" w:sz="8" w:space="0" w:color="auto"/>
              <w:right w:val="single" w:sz="8" w:space="0" w:color="auto"/>
            </w:tcBorders>
            <w:noWrap/>
            <w:vAlign w:val="center"/>
            <w:hideMark/>
          </w:tcPr>
          <w:p w14:paraId="09CB5A05"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702,171</w:t>
            </w:r>
          </w:p>
        </w:tc>
        <w:tc>
          <w:tcPr>
            <w:tcW w:w="2431" w:type="dxa"/>
            <w:tcBorders>
              <w:top w:val="nil"/>
              <w:left w:val="nil"/>
              <w:bottom w:val="single" w:sz="8" w:space="0" w:color="auto"/>
              <w:right w:val="single" w:sz="8" w:space="0" w:color="auto"/>
            </w:tcBorders>
            <w:vAlign w:val="center"/>
            <w:hideMark/>
          </w:tcPr>
          <w:p w14:paraId="594932A1" w14:textId="77777777" w:rsidR="00DF34D1" w:rsidRPr="007073AD" w:rsidRDefault="00DF34D1" w:rsidP="00432FAC">
            <w:pPr>
              <w:spacing w:after="0"/>
              <w:jc w:val="center"/>
              <w:rPr>
                <w:rFonts w:eastAsia="Times New Roman"/>
                <w:noProof/>
                <w:lang w:eastAsia="en-IE"/>
              </w:rPr>
            </w:pPr>
            <w:r w:rsidRPr="007073AD">
              <w:rPr>
                <w:rFonts w:eastAsia="Times New Roman"/>
                <w:noProof/>
                <w:lang w:eastAsia="en-IE"/>
              </w:rPr>
              <w:t>600,000*</w:t>
            </w:r>
          </w:p>
        </w:tc>
        <w:tc>
          <w:tcPr>
            <w:tcW w:w="1538" w:type="dxa"/>
            <w:tcBorders>
              <w:top w:val="single" w:sz="8" w:space="0" w:color="auto"/>
              <w:left w:val="nil"/>
              <w:bottom w:val="single" w:sz="8" w:space="0" w:color="auto"/>
              <w:right w:val="single" w:sz="4" w:space="0" w:color="auto"/>
            </w:tcBorders>
          </w:tcPr>
          <w:p w14:paraId="682828E5" w14:textId="77777777" w:rsidR="00DF34D1" w:rsidRPr="002320EE" w:rsidRDefault="00DF34D1" w:rsidP="00432FAC">
            <w:pPr>
              <w:spacing w:after="0"/>
              <w:jc w:val="center"/>
              <w:rPr>
                <w:noProof/>
                <w:color w:val="FF0000"/>
              </w:rPr>
            </w:pPr>
            <w:r>
              <w:rPr>
                <w:noProof/>
                <w:color w:val="FF0000"/>
              </w:rPr>
              <w:t>-102,171</w:t>
            </w:r>
          </w:p>
        </w:tc>
        <w:tc>
          <w:tcPr>
            <w:tcW w:w="1701" w:type="dxa"/>
            <w:tcBorders>
              <w:top w:val="nil"/>
              <w:left w:val="single" w:sz="4" w:space="0" w:color="auto"/>
              <w:bottom w:val="single" w:sz="8" w:space="0" w:color="auto"/>
              <w:right w:val="single" w:sz="8" w:space="0" w:color="auto"/>
            </w:tcBorders>
            <w:vAlign w:val="center"/>
          </w:tcPr>
          <w:p w14:paraId="67B5D44C" w14:textId="77777777" w:rsidR="00DF34D1" w:rsidRPr="007073AD" w:rsidRDefault="00DF34D1" w:rsidP="00432FAC">
            <w:pPr>
              <w:spacing w:after="0"/>
              <w:jc w:val="center"/>
              <w:rPr>
                <w:rFonts w:eastAsia="Times New Roman"/>
                <w:noProof/>
                <w:lang w:eastAsia="en-IE"/>
              </w:rPr>
            </w:pPr>
            <w:r w:rsidRPr="002320EE">
              <w:rPr>
                <w:noProof/>
                <w:color w:val="FF0000"/>
              </w:rPr>
              <w:t>-14.55%</w:t>
            </w:r>
          </w:p>
        </w:tc>
      </w:tr>
    </w:tbl>
    <w:p w14:paraId="65C2AD9C" w14:textId="77777777" w:rsidR="00DF34D1" w:rsidRDefault="00DF34D1" w:rsidP="00DF34D1">
      <w:pPr>
        <w:tabs>
          <w:tab w:val="left" w:pos="170"/>
        </w:tabs>
        <w:rPr>
          <w:noProof/>
          <w:szCs w:val="20"/>
        </w:rPr>
      </w:pPr>
    </w:p>
    <w:p w14:paraId="788B14C8" w14:textId="77777777" w:rsidR="00DF34D1" w:rsidRDefault="00DF34D1" w:rsidP="00DF34D1">
      <w:pPr>
        <w:tabs>
          <w:tab w:val="left" w:pos="170"/>
        </w:tabs>
        <w:rPr>
          <w:noProof/>
        </w:rPr>
      </w:pPr>
      <w:r>
        <w:rPr>
          <w:noProof/>
        </w:rPr>
        <w:t xml:space="preserve">In addition, as a response to the needs of startups and </w:t>
      </w:r>
      <w:r w:rsidRPr="00444816">
        <w:rPr>
          <w:noProof/>
        </w:rPr>
        <w:t>to promote the</w:t>
      </w:r>
      <w:r>
        <w:rPr>
          <w:noProof/>
        </w:rPr>
        <w:t>ir</w:t>
      </w:r>
      <w:r w:rsidRPr="00444816">
        <w:rPr>
          <w:noProof/>
        </w:rPr>
        <w:t xml:space="preserve"> growth, </w:t>
      </w:r>
      <w:r>
        <w:rPr>
          <w:noProof/>
        </w:rPr>
        <w:t xml:space="preserve">some </w:t>
      </w:r>
      <w:r w:rsidRPr="00444816">
        <w:rPr>
          <w:noProof/>
        </w:rPr>
        <w:t xml:space="preserve">Member States have undertaken reforms of their legal forms </w:t>
      </w:r>
      <w:r>
        <w:rPr>
          <w:noProof/>
        </w:rPr>
        <w:t>to</w:t>
      </w:r>
      <w:r w:rsidRPr="00444816">
        <w:rPr>
          <w:noProof/>
        </w:rPr>
        <w:t xml:space="preserve"> allow greater flexibility</w:t>
      </w:r>
      <w:r w:rsidRPr="006A3B4D">
        <w:rPr>
          <w:noProof/>
        </w:rPr>
        <w:t xml:space="preserve"> </w:t>
      </w:r>
      <w:r>
        <w:rPr>
          <w:noProof/>
        </w:rPr>
        <w:t xml:space="preserve">or </w:t>
      </w:r>
      <w:r w:rsidRPr="00444816">
        <w:rPr>
          <w:noProof/>
        </w:rPr>
        <w:t>introduced new simplified</w:t>
      </w:r>
      <w:r>
        <w:rPr>
          <w:noProof/>
        </w:rPr>
        <w:t xml:space="preserve"> legal</w:t>
      </w:r>
      <w:r w:rsidRPr="00444816">
        <w:rPr>
          <w:noProof/>
        </w:rPr>
        <w:t xml:space="preserve"> forms</w:t>
      </w:r>
      <w:r>
        <w:rPr>
          <w:noProof/>
        </w:rPr>
        <w:t xml:space="preserve">. Therefore, the uptake of simplified national legal forms in France, Germany and Greece was also specifically looked at. </w:t>
      </w:r>
    </w:p>
    <w:p w14:paraId="0AA93811" w14:textId="09A2BDDA" w:rsidR="00DF34D1" w:rsidRPr="007073AD" w:rsidRDefault="00DF34D1" w:rsidP="00DF34D1">
      <w:pPr>
        <w:tabs>
          <w:tab w:val="left" w:pos="170"/>
        </w:tabs>
        <w:rPr>
          <w:noProof/>
        </w:rPr>
      </w:pPr>
      <w:r w:rsidRPr="249B2C69">
        <w:rPr>
          <w:noProof/>
          <w:lang w:val="en-IE"/>
        </w:rPr>
        <w:t>In France, the SAS (Société par Actions Simplifiée) was first introduced in 1994 and it enjoyed growing success, particularly since the 2010s. The number of SAS companies increased from just over 100</w:t>
      </w:r>
      <w:r w:rsidR="00266F35" w:rsidRPr="249B2C69">
        <w:rPr>
          <w:noProof/>
          <w:lang w:val="en-IE"/>
        </w:rPr>
        <w:t> </w:t>
      </w:r>
      <w:r w:rsidRPr="249B2C69">
        <w:rPr>
          <w:noProof/>
          <w:lang w:val="en-IE"/>
        </w:rPr>
        <w:t>000 in 2006 to more than 840</w:t>
      </w:r>
      <w:r w:rsidR="00266F35" w:rsidRPr="249B2C69">
        <w:rPr>
          <w:noProof/>
          <w:lang w:val="en-IE"/>
        </w:rPr>
        <w:t> </w:t>
      </w:r>
      <w:r w:rsidRPr="249B2C69">
        <w:rPr>
          <w:noProof/>
          <w:lang w:val="en-IE"/>
        </w:rPr>
        <w:t>000 in July 2019. Their number has thus multiplied more than eightfold in 13 years. One in three LLCs in France were SAS companies in 2019. This sharp increase in SAS companies has not yet taken over the number of private limited liability companies (SARLs). Nevertheless, the share of SARLs has decreased by 20 percentage points, from 84% in 2006 to 64% in July 2019.</w:t>
      </w:r>
    </w:p>
    <w:p w14:paraId="18D89DF3" w14:textId="7CBB8375" w:rsidR="00DF34D1" w:rsidRPr="007073AD" w:rsidRDefault="00DF34D1" w:rsidP="00DF34D1">
      <w:pPr>
        <w:tabs>
          <w:tab w:val="left" w:pos="170"/>
        </w:tabs>
        <w:rPr>
          <w:noProof/>
        </w:rPr>
      </w:pPr>
      <w:r w:rsidRPr="007073AD">
        <w:rPr>
          <w:noProof/>
        </w:rPr>
        <w:t>In Germany, the UG (</w:t>
      </w:r>
      <w:r w:rsidRPr="003775DD">
        <w:rPr>
          <w:noProof/>
        </w:rPr>
        <w:t>Unternehmergesellschaft</w:t>
      </w:r>
      <w:r>
        <w:rPr>
          <w:noProof/>
        </w:rPr>
        <w:t>)</w:t>
      </w:r>
      <w:r w:rsidRPr="007073AD">
        <w:rPr>
          <w:noProof/>
        </w:rPr>
        <w:t xml:space="preserve"> has been available to company founders as a legal form variant of the private limited liability company (GmbH) since 2008</w:t>
      </w:r>
      <w:r w:rsidRPr="007073AD">
        <w:rPr>
          <w:rStyle w:val="FootnoteReference"/>
          <w:noProof/>
        </w:rPr>
        <w:footnoteReference w:id="13"/>
      </w:r>
      <w:r w:rsidRPr="007073AD">
        <w:rPr>
          <w:noProof/>
        </w:rPr>
        <w:t>.</w:t>
      </w:r>
    </w:p>
    <w:tbl>
      <w:tblPr>
        <w:tblStyle w:val="TableGrid"/>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22"/>
        <w:gridCol w:w="3827"/>
        <w:gridCol w:w="1244"/>
        <w:gridCol w:w="1640"/>
      </w:tblGrid>
      <w:tr w:rsidR="00DF34D1" w14:paraId="578DA8CF" w14:textId="77777777" w:rsidTr="00432FAC">
        <w:trPr>
          <w:jc w:val="center"/>
        </w:trPr>
        <w:tc>
          <w:tcPr>
            <w:tcW w:w="10446" w:type="dxa"/>
            <w:gridSpan w:val="4"/>
          </w:tcPr>
          <w:p w14:paraId="4930287A" w14:textId="77777777" w:rsidR="00DF34D1" w:rsidRDefault="00DF34D1" w:rsidP="00432FAC">
            <w:pPr>
              <w:spacing w:after="0"/>
              <w:jc w:val="center"/>
              <w:rPr>
                <w:rFonts w:ascii="Aptos Narrow" w:hAnsi="Aptos Narrow"/>
                <w:b/>
                <w:bCs/>
                <w:noProof/>
                <w:color w:val="000000"/>
                <w:sz w:val="22"/>
                <w:szCs w:val="22"/>
              </w:rPr>
            </w:pPr>
            <w:r>
              <w:rPr>
                <w:rFonts w:ascii="Aptos Narrow" w:hAnsi="Aptos Narrow"/>
                <w:b/>
                <w:bCs/>
                <w:noProof/>
                <w:color w:val="000000"/>
                <w:sz w:val="22"/>
                <w:szCs w:val="22"/>
              </w:rPr>
              <w:t>DE - number of UGs within the first 10 years of introduction</w:t>
            </w:r>
            <w:r>
              <w:rPr>
                <w:rStyle w:val="FootnoteReference"/>
                <w:rFonts w:ascii="Aptos Narrow" w:hAnsi="Aptos Narrow"/>
                <w:b/>
                <w:bCs/>
                <w:noProof/>
                <w:color w:val="000000"/>
                <w:sz w:val="22"/>
                <w:szCs w:val="22"/>
              </w:rPr>
              <w:footnoteReference w:id="14"/>
            </w:r>
          </w:p>
        </w:tc>
      </w:tr>
      <w:tr w:rsidR="00DF34D1" w:rsidRPr="00C61F77" w14:paraId="5C6C4E89" w14:textId="77777777" w:rsidTr="00432FAC">
        <w:trPr>
          <w:trHeight w:val="290"/>
          <w:jc w:val="center"/>
        </w:trPr>
        <w:tc>
          <w:tcPr>
            <w:tcW w:w="2122" w:type="dxa"/>
            <w:noWrap/>
            <w:hideMark/>
          </w:tcPr>
          <w:p w14:paraId="7091FAE4" w14:textId="77777777" w:rsidR="00DF34D1" w:rsidRPr="007073AD" w:rsidRDefault="00DF34D1" w:rsidP="00432FAC">
            <w:pPr>
              <w:spacing w:after="0"/>
              <w:jc w:val="center"/>
              <w:rPr>
                <w:rFonts w:ascii="Aptos Narrow" w:hAnsi="Aptos Narrow"/>
                <w:b/>
                <w:noProof/>
                <w:color w:val="000000"/>
                <w:sz w:val="22"/>
                <w:szCs w:val="22"/>
                <w:lang w:eastAsia="en-IE"/>
              </w:rPr>
            </w:pPr>
            <w:r w:rsidRPr="007073AD">
              <w:rPr>
                <w:rFonts w:ascii="Aptos Narrow" w:hAnsi="Aptos Narrow"/>
                <w:b/>
                <w:noProof/>
                <w:color w:val="000000"/>
                <w:sz w:val="22"/>
                <w:szCs w:val="22"/>
                <w:lang w:eastAsia="en-IE"/>
              </w:rPr>
              <w:t>Date</w:t>
            </w:r>
          </w:p>
        </w:tc>
        <w:tc>
          <w:tcPr>
            <w:tcW w:w="3827" w:type="dxa"/>
            <w:noWrap/>
            <w:hideMark/>
          </w:tcPr>
          <w:p w14:paraId="2B52FA09" w14:textId="77777777" w:rsidR="00DF34D1" w:rsidRPr="007073AD" w:rsidRDefault="00DF34D1" w:rsidP="00432FAC">
            <w:pPr>
              <w:spacing w:after="0"/>
              <w:jc w:val="center"/>
              <w:rPr>
                <w:rFonts w:ascii="Aptos Narrow" w:hAnsi="Aptos Narrow"/>
                <w:b/>
                <w:noProof/>
                <w:color w:val="000000"/>
                <w:sz w:val="22"/>
                <w:szCs w:val="22"/>
                <w:lang w:eastAsia="en-IE"/>
              </w:rPr>
            </w:pPr>
            <w:r w:rsidRPr="007073AD">
              <w:rPr>
                <w:rFonts w:ascii="Aptos Narrow" w:hAnsi="Aptos Narrow"/>
                <w:b/>
                <w:noProof/>
                <w:color w:val="000000"/>
                <w:sz w:val="22"/>
                <w:szCs w:val="22"/>
                <w:lang w:eastAsia="en-IE"/>
              </w:rPr>
              <w:t>Number of companies</w:t>
            </w:r>
          </w:p>
        </w:tc>
        <w:tc>
          <w:tcPr>
            <w:tcW w:w="1987" w:type="dxa"/>
          </w:tcPr>
          <w:p w14:paraId="294EF2D4" w14:textId="77777777" w:rsidR="00DF34D1" w:rsidRPr="004804B9" w:rsidRDefault="00DF34D1" w:rsidP="00432FAC">
            <w:pPr>
              <w:spacing w:after="0"/>
              <w:jc w:val="center"/>
              <w:rPr>
                <w:rFonts w:ascii="Aptos Narrow" w:hAnsi="Aptos Narrow"/>
                <w:b/>
                <w:bCs/>
                <w:noProof/>
                <w:color w:val="000000"/>
                <w:sz w:val="22"/>
                <w:szCs w:val="22"/>
              </w:rPr>
            </w:pPr>
            <w:r>
              <w:rPr>
                <w:rFonts w:ascii="Aptos Narrow" w:hAnsi="Aptos Narrow"/>
                <w:b/>
                <w:bCs/>
                <w:noProof/>
                <w:color w:val="000000"/>
                <w:sz w:val="22"/>
                <w:szCs w:val="22"/>
              </w:rPr>
              <w:t xml:space="preserve">Change </w:t>
            </w:r>
          </w:p>
        </w:tc>
        <w:tc>
          <w:tcPr>
            <w:tcW w:w="2510" w:type="dxa"/>
          </w:tcPr>
          <w:p w14:paraId="54C67466" w14:textId="77777777" w:rsidR="00DF34D1" w:rsidRPr="007073AD" w:rsidRDefault="00DF34D1" w:rsidP="00432FAC">
            <w:pPr>
              <w:spacing w:after="0"/>
              <w:jc w:val="center"/>
              <w:rPr>
                <w:rFonts w:ascii="Aptos Narrow" w:hAnsi="Aptos Narrow"/>
                <w:b/>
                <w:noProof/>
                <w:color w:val="000000"/>
                <w:sz w:val="22"/>
                <w:szCs w:val="22"/>
                <w:lang w:eastAsia="en-IE"/>
              </w:rPr>
            </w:pPr>
            <w:r w:rsidRPr="004804B9">
              <w:rPr>
                <w:rFonts w:ascii="Aptos Narrow" w:hAnsi="Aptos Narrow"/>
                <w:b/>
                <w:bCs/>
                <w:noProof/>
                <w:color w:val="000000"/>
                <w:sz w:val="22"/>
                <w:szCs w:val="22"/>
              </w:rPr>
              <w:t>Percentage change</w:t>
            </w:r>
          </w:p>
        </w:tc>
      </w:tr>
      <w:tr w:rsidR="00DF34D1" w:rsidRPr="00C61F77" w14:paraId="1F0E6B78" w14:textId="77777777" w:rsidTr="00432FAC">
        <w:trPr>
          <w:trHeight w:val="290"/>
          <w:jc w:val="center"/>
        </w:trPr>
        <w:tc>
          <w:tcPr>
            <w:tcW w:w="2122" w:type="dxa"/>
            <w:noWrap/>
            <w:hideMark/>
          </w:tcPr>
          <w:p w14:paraId="420DC3AC" w14:textId="77777777" w:rsidR="00DF34D1" w:rsidRPr="007073AD" w:rsidRDefault="00DF34D1" w:rsidP="00432FAC">
            <w:pPr>
              <w:spacing w:after="0"/>
              <w:jc w:val="center"/>
              <w:rPr>
                <w:rFonts w:ascii="Aptos Narrow" w:hAnsi="Aptos Narrow"/>
                <w:noProof/>
                <w:color w:val="000000"/>
                <w:sz w:val="22"/>
                <w:szCs w:val="22"/>
                <w:lang w:eastAsia="en-IE"/>
              </w:rPr>
            </w:pPr>
            <w:r w:rsidRPr="007073AD">
              <w:rPr>
                <w:rFonts w:ascii="Aptos Narrow" w:hAnsi="Aptos Narrow"/>
                <w:noProof/>
                <w:color w:val="000000"/>
                <w:sz w:val="22"/>
                <w:szCs w:val="22"/>
                <w:lang w:eastAsia="en-IE"/>
              </w:rPr>
              <w:t>1.11.2009</w:t>
            </w:r>
          </w:p>
        </w:tc>
        <w:tc>
          <w:tcPr>
            <w:tcW w:w="3827" w:type="dxa"/>
            <w:noWrap/>
            <w:hideMark/>
          </w:tcPr>
          <w:p w14:paraId="25187886" w14:textId="77777777" w:rsidR="00DF34D1" w:rsidRPr="007073AD" w:rsidRDefault="00DF34D1" w:rsidP="00432FAC">
            <w:pPr>
              <w:spacing w:after="0"/>
              <w:jc w:val="center"/>
              <w:rPr>
                <w:rFonts w:ascii="Aptos Narrow" w:hAnsi="Aptos Narrow"/>
                <w:noProof/>
                <w:color w:val="000000"/>
                <w:sz w:val="22"/>
                <w:szCs w:val="22"/>
                <w:lang w:eastAsia="en-IE"/>
              </w:rPr>
            </w:pPr>
            <w:r w:rsidRPr="007073AD">
              <w:rPr>
                <w:rFonts w:ascii="Aptos Narrow" w:hAnsi="Aptos Narrow"/>
                <w:noProof/>
                <w:color w:val="000000"/>
                <w:sz w:val="22"/>
                <w:szCs w:val="22"/>
                <w:lang w:eastAsia="en-IE"/>
              </w:rPr>
              <w:t>19,563</w:t>
            </w:r>
          </w:p>
        </w:tc>
        <w:tc>
          <w:tcPr>
            <w:tcW w:w="1987" w:type="dxa"/>
          </w:tcPr>
          <w:p w14:paraId="36D47AC1" w14:textId="77777777" w:rsidR="00DF34D1" w:rsidRPr="007073AD" w:rsidRDefault="00DF34D1" w:rsidP="00432FAC">
            <w:pPr>
              <w:spacing w:after="0"/>
              <w:jc w:val="center"/>
              <w:rPr>
                <w:rFonts w:ascii="Aptos Narrow" w:hAnsi="Aptos Narrow"/>
                <w:noProof/>
                <w:color w:val="000000"/>
                <w:sz w:val="22"/>
                <w:szCs w:val="22"/>
                <w:lang w:eastAsia="en-IE"/>
              </w:rPr>
            </w:pPr>
          </w:p>
        </w:tc>
        <w:tc>
          <w:tcPr>
            <w:tcW w:w="2510" w:type="dxa"/>
          </w:tcPr>
          <w:p w14:paraId="1076224C" w14:textId="77777777" w:rsidR="00DF34D1" w:rsidRPr="007073AD" w:rsidRDefault="00DF34D1" w:rsidP="00432FAC">
            <w:pPr>
              <w:spacing w:after="0"/>
              <w:jc w:val="center"/>
              <w:rPr>
                <w:rFonts w:ascii="Aptos Narrow" w:hAnsi="Aptos Narrow"/>
                <w:noProof/>
                <w:color w:val="000000"/>
                <w:sz w:val="22"/>
                <w:szCs w:val="22"/>
                <w:lang w:eastAsia="en-IE"/>
              </w:rPr>
            </w:pPr>
          </w:p>
        </w:tc>
      </w:tr>
      <w:tr w:rsidR="00DF34D1" w:rsidRPr="00C61F77" w14:paraId="75C53463" w14:textId="77777777" w:rsidTr="00432FAC">
        <w:trPr>
          <w:trHeight w:val="290"/>
          <w:jc w:val="center"/>
        </w:trPr>
        <w:tc>
          <w:tcPr>
            <w:tcW w:w="2122" w:type="dxa"/>
            <w:noWrap/>
            <w:hideMark/>
          </w:tcPr>
          <w:p w14:paraId="073D945E" w14:textId="77777777" w:rsidR="00DF34D1" w:rsidRPr="007073AD" w:rsidRDefault="00DF34D1" w:rsidP="00432FAC">
            <w:pPr>
              <w:spacing w:after="0"/>
              <w:jc w:val="center"/>
              <w:rPr>
                <w:rFonts w:ascii="Aptos Narrow" w:hAnsi="Aptos Narrow"/>
                <w:noProof/>
                <w:color w:val="000000"/>
                <w:sz w:val="22"/>
                <w:szCs w:val="22"/>
                <w:lang w:eastAsia="en-IE"/>
              </w:rPr>
            </w:pPr>
            <w:r w:rsidRPr="007073AD">
              <w:rPr>
                <w:rFonts w:ascii="Aptos Narrow" w:hAnsi="Aptos Narrow"/>
                <w:noProof/>
                <w:color w:val="000000"/>
                <w:sz w:val="22"/>
                <w:szCs w:val="22"/>
                <w:lang w:eastAsia="en-IE"/>
              </w:rPr>
              <w:t>1.11.2010</w:t>
            </w:r>
          </w:p>
        </w:tc>
        <w:tc>
          <w:tcPr>
            <w:tcW w:w="3827" w:type="dxa"/>
            <w:noWrap/>
            <w:hideMark/>
          </w:tcPr>
          <w:p w14:paraId="60718F59" w14:textId="77777777" w:rsidR="00DF34D1" w:rsidRPr="007073AD" w:rsidRDefault="00DF34D1" w:rsidP="00432FAC">
            <w:pPr>
              <w:spacing w:after="0"/>
              <w:jc w:val="center"/>
              <w:rPr>
                <w:rFonts w:ascii="Aptos Narrow" w:hAnsi="Aptos Narrow"/>
                <w:noProof/>
                <w:color w:val="000000"/>
                <w:sz w:val="22"/>
                <w:szCs w:val="22"/>
                <w:lang w:eastAsia="en-IE"/>
              </w:rPr>
            </w:pPr>
            <w:r w:rsidRPr="007073AD">
              <w:rPr>
                <w:rFonts w:ascii="Aptos Narrow" w:hAnsi="Aptos Narrow"/>
                <w:noProof/>
                <w:color w:val="000000"/>
                <w:sz w:val="22"/>
                <w:szCs w:val="22"/>
                <w:lang w:eastAsia="en-IE"/>
              </w:rPr>
              <w:t>41,014</w:t>
            </w:r>
          </w:p>
        </w:tc>
        <w:tc>
          <w:tcPr>
            <w:tcW w:w="1987" w:type="dxa"/>
          </w:tcPr>
          <w:p w14:paraId="7F9521D2" w14:textId="77777777" w:rsidR="00DF34D1" w:rsidRPr="007073AD" w:rsidRDefault="00DF34D1" w:rsidP="00432FAC">
            <w:pPr>
              <w:spacing w:after="0"/>
              <w:jc w:val="center"/>
              <w:rPr>
                <w:rFonts w:ascii="Aptos Narrow" w:hAnsi="Aptos Narrow"/>
                <w:noProof/>
                <w:color w:val="00B050"/>
                <w:sz w:val="22"/>
                <w:szCs w:val="22"/>
                <w:lang w:eastAsia="en-IE"/>
              </w:rPr>
            </w:pPr>
            <w:r w:rsidRPr="007073AD">
              <w:rPr>
                <w:rFonts w:ascii="Aptos Narrow" w:hAnsi="Aptos Narrow"/>
                <w:noProof/>
                <w:color w:val="00B050"/>
                <w:sz w:val="22"/>
                <w:szCs w:val="22"/>
                <w:lang w:eastAsia="en-IE"/>
              </w:rPr>
              <w:t>21,451</w:t>
            </w:r>
          </w:p>
        </w:tc>
        <w:tc>
          <w:tcPr>
            <w:tcW w:w="2510" w:type="dxa"/>
          </w:tcPr>
          <w:p w14:paraId="173F62FD" w14:textId="77777777" w:rsidR="00DF34D1" w:rsidRPr="007073AD" w:rsidRDefault="00DF34D1" w:rsidP="00432FAC">
            <w:pPr>
              <w:spacing w:after="0"/>
              <w:jc w:val="center"/>
              <w:rPr>
                <w:rFonts w:ascii="Aptos Narrow" w:hAnsi="Aptos Narrow"/>
                <w:noProof/>
                <w:color w:val="00B050"/>
                <w:sz w:val="22"/>
                <w:szCs w:val="22"/>
                <w:lang w:eastAsia="en-IE"/>
              </w:rPr>
            </w:pPr>
            <w:r w:rsidRPr="007073AD">
              <w:rPr>
                <w:rFonts w:ascii="Aptos Narrow" w:hAnsi="Aptos Narrow"/>
                <w:noProof/>
                <w:color w:val="00B050"/>
                <w:sz w:val="22"/>
                <w:szCs w:val="22"/>
                <w:lang w:eastAsia="en-IE"/>
              </w:rPr>
              <w:t>109.65%</w:t>
            </w:r>
          </w:p>
        </w:tc>
      </w:tr>
      <w:tr w:rsidR="00DF34D1" w:rsidRPr="00C61F77" w14:paraId="42183D20" w14:textId="77777777" w:rsidTr="00432FAC">
        <w:trPr>
          <w:trHeight w:val="290"/>
          <w:jc w:val="center"/>
        </w:trPr>
        <w:tc>
          <w:tcPr>
            <w:tcW w:w="2122" w:type="dxa"/>
            <w:noWrap/>
            <w:hideMark/>
          </w:tcPr>
          <w:p w14:paraId="2977A7D0" w14:textId="77777777" w:rsidR="00DF34D1" w:rsidRPr="007073AD" w:rsidRDefault="00DF34D1" w:rsidP="00432FAC">
            <w:pPr>
              <w:spacing w:after="0"/>
              <w:jc w:val="center"/>
              <w:rPr>
                <w:rFonts w:ascii="Aptos Narrow" w:hAnsi="Aptos Narrow"/>
                <w:noProof/>
                <w:color w:val="000000"/>
                <w:sz w:val="22"/>
                <w:szCs w:val="22"/>
                <w:lang w:eastAsia="en-IE"/>
              </w:rPr>
            </w:pPr>
            <w:r w:rsidRPr="007073AD">
              <w:rPr>
                <w:rFonts w:ascii="Aptos Narrow" w:hAnsi="Aptos Narrow"/>
                <w:noProof/>
                <w:color w:val="000000"/>
                <w:sz w:val="22"/>
                <w:szCs w:val="22"/>
                <w:lang w:eastAsia="en-IE"/>
              </w:rPr>
              <w:t>1.11.2012</w:t>
            </w:r>
          </w:p>
        </w:tc>
        <w:tc>
          <w:tcPr>
            <w:tcW w:w="3827" w:type="dxa"/>
            <w:noWrap/>
            <w:hideMark/>
          </w:tcPr>
          <w:p w14:paraId="6E6D9520" w14:textId="77777777" w:rsidR="00DF34D1" w:rsidRPr="007073AD" w:rsidRDefault="00DF34D1" w:rsidP="00432FAC">
            <w:pPr>
              <w:spacing w:after="0"/>
              <w:jc w:val="center"/>
              <w:rPr>
                <w:rFonts w:ascii="Aptos Narrow" w:hAnsi="Aptos Narrow"/>
                <w:noProof/>
                <w:color w:val="000000"/>
                <w:sz w:val="22"/>
                <w:szCs w:val="22"/>
                <w:lang w:eastAsia="en-IE"/>
              </w:rPr>
            </w:pPr>
            <w:r w:rsidRPr="007073AD">
              <w:rPr>
                <w:rFonts w:ascii="Aptos Narrow" w:hAnsi="Aptos Narrow"/>
                <w:noProof/>
                <w:color w:val="000000"/>
                <w:sz w:val="22"/>
                <w:szCs w:val="22"/>
                <w:lang w:eastAsia="en-IE"/>
              </w:rPr>
              <w:t>76,377</w:t>
            </w:r>
          </w:p>
        </w:tc>
        <w:tc>
          <w:tcPr>
            <w:tcW w:w="1987" w:type="dxa"/>
          </w:tcPr>
          <w:p w14:paraId="7CFEE029" w14:textId="77777777" w:rsidR="00DF34D1" w:rsidRPr="007073AD" w:rsidRDefault="00DF34D1" w:rsidP="00432FAC">
            <w:pPr>
              <w:spacing w:after="0"/>
              <w:jc w:val="center"/>
              <w:rPr>
                <w:rFonts w:ascii="Aptos Narrow" w:hAnsi="Aptos Narrow"/>
                <w:noProof/>
                <w:color w:val="00B050"/>
                <w:sz w:val="22"/>
                <w:szCs w:val="22"/>
                <w:lang w:eastAsia="en-IE"/>
              </w:rPr>
            </w:pPr>
            <w:r w:rsidRPr="007073AD">
              <w:rPr>
                <w:rFonts w:ascii="Aptos Narrow" w:hAnsi="Aptos Narrow"/>
                <w:noProof/>
                <w:color w:val="00B050"/>
                <w:sz w:val="22"/>
                <w:szCs w:val="22"/>
                <w:lang w:eastAsia="en-IE"/>
              </w:rPr>
              <w:t>35,363</w:t>
            </w:r>
          </w:p>
        </w:tc>
        <w:tc>
          <w:tcPr>
            <w:tcW w:w="2510" w:type="dxa"/>
          </w:tcPr>
          <w:p w14:paraId="58EA88B1" w14:textId="77777777" w:rsidR="00DF34D1" w:rsidRPr="007073AD" w:rsidRDefault="00DF34D1" w:rsidP="00432FAC">
            <w:pPr>
              <w:spacing w:after="0"/>
              <w:jc w:val="center"/>
              <w:rPr>
                <w:rFonts w:ascii="Aptos Narrow" w:hAnsi="Aptos Narrow"/>
                <w:noProof/>
                <w:color w:val="00B050"/>
                <w:sz w:val="22"/>
                <w:szCs w:val="22"/>
                <w:lang w:eastAsia="en-IE"/>
              </w:rPr>
            </w:pPr>
            <w:r w:rsidRPr="007073AD">
              <w:rPr>
                <w:rFonts w:ascii="Aptos Narrow" w:hAnsi="Aptos Narrow"/>
                <w:noProof/>
                <w:color w:val="00B050"/>
                <w:sz w:val="22"/>
                <w:szCs w:val="22"/>
                <w:lang w:eastAsia="en-IE"/>
              </w:rPr>
              <w:t xml:space="preserve">86.22% </w:t>
            </w:r>
          </w:p>
          <w:p w14:paraId="388ADB9F" w14:textId="77777777" w:rsidR="00DF34D1" w:rsidRPr="007073AD" w:rsidRDefault="00DF34D1" w:rsidP="00432FAC">
            <w:pPr>
              <w:spacing w:after="0"/>
              <w:jc w:val="center"/>
              <w:rPr>
                <w:rFonts w:ascii="Aptos Narrow" w:hAnsi="Aptos Narrow"/>
                <w:noProof/>
                <w:color w:val="00B050"/>
                <w:sz w:val="22"/>
                <w:szCs w:val="22"/>
                <w:lang w:eastAsia="en-IE"/>
              </w:rPr>
            </w:pPr>
            <w:r w:rsidRPr="007073AD">
              <w:rPr>
                <w:rFonts w:ascii="Aptos Narrow" w:hAnsi="Aptos Narrow"/>
                <w:noProof/>
                <w:color w:val="00B050"/>
                <w:sz w:val="22"/>
                <w:szCs w:val="22"/>
                <w:lang w:eastAsia="en-IE"/>
              </w:rPr>
              <w:t>(this covers 2 years)</w:t>
            </w:r>
          </w:p>
        </w:tc>
      </w:tr>
      <w:tr w:rsidR="00DF34D1" w:rsidRPr="00C61F77" w14:paraId="1FC4FBEC" w14:textId="77777777" w:rsidTr="00432FAC">
        <w:trPr>
          <w:trHeight w:val="290"/>
          <w:jc w:val="center"/>
        </w:trPr>
        <w:tc>
          <w:tcPr>
            <w:tcW w:w="2122" w:type="dxa"/>
            <w:noWrap/>
            <w:hideMark/>
          </w:tcPr>
          <w:p w14:paraId="36EDD0B6" w14:textId="77777777" w:rsidR="00DF34D1" w:rsidRPr="007073AD" w:rsidRDefault="00DF34D1" w:rsidP="00432FAC">
            <w:pPr>
              <w:spacing w:after="0"/>
              <w:jc w:val="center"/>
              <w:rPr>
                <w:rFonts w:ascii="Aptos Narrow" w:hAnsi="Aptos Narrow"/>
                <w:noProof/>
                <w:color w:val="000000"/>
                <w:sz w:val="22"/>
                <w:szCs w:val="22"/>
                <w:lang w:eastAsia="en-IE"/>
              </w:rPr>
            </w:pPr>
            <w:r w:rsidRPr="007073AD">
              <w:rPr>
                <w:rFonts w:ascii="Aptos Narrow" w:hAnsi="Aptos Narrow"/>
                <w:noProof/>
                <w:color w:val="000000"/>
                <w:sz w:val="22"/>
                <w:szCs w:val="22"/>
                <w:lang w:eastAsia="en-IE"/>
              </w:rPr>
              <w:t>1.11.2013</w:t>
            </w:r>
          </w:p>
        </w:tc>
        <w:tc>
          <w:tcPr>
            <w:tcW w:w="3827" w:type="dxa"/>
            <w:noWrap/>
            <w:hideMark/>
          </w:tcPr>
          <w:p w14:paraId="5C6CB905" w14:textId="77777777" w:rsidR="00DF34D1" w:rsidRPr="007073AD" w:rsidRDefault="00DF34D1" w:rsidP="00432FAC">
            <w:pPr>
              <w:spacing w:after="0"/>
              <w:jc w:val="center"/>
              <w:rPr>
                <w:rFonts w:ascii="Aptos Narrow" w:hAnsi="Aptos Narrow"/>
                <w:noProof/>
                <w:color w:val="000000"/>
                <w:sz w:val="22"/>
                <w:szCs w:val="22"/>
                <w:lang w:eastAsia="en-IE"/>
              </w:rPr>
            </w:pPr>
            <w:r w:rsidRPr="007073AD">
              <w:rPr>
                <w:rFonts w:ascii="Aptos Narrow" w:hAnsi="Aptos Narrow"/>
                <w:noProof/>
                <w:color w:val="000000"/>
                <w:sz w:val="22"/>
                <w:szCs w:val="22"/>
                <w:lang w:eastAsia="en-IE"/>
              </w:rPr>
              <w:t>91,104</w:t>
            </w:r>
          </w:p>
        </w:tc>
        <w:tc>
          <w:tcPr>
            <w:tcW w:w="1987" w:type="dxa"/>
          </w:tcPr>
          <w:p w14:paraId="5202EC07" w14:textId="77777777" w:rsidR="00DF34D1" w:rsidRPr="007073AD" w:rsidRDefault="00DF34D1" w:rsidP="00432FAC">
            <w:pPr>
              <w:spacing w:after="0"/>
              <w:jc w:val="center"/>
              <w:rPr>
                <w:rFonts w:ascii="Aptos Narrow" w:hAnsi="Aptos Narrow"/>
                <w:noProof/>
                <w:color w:val="00B050"/>
                <w:sz w:val="22"/>
                <w:szCs w:val="22"/>
                <w:lang w:eastAsia="en-IE"/>
              </w:rPr>
            </w:pPr>
            <w:r w:rsidRPr="007073AD">
              <w:rPr>
                <w:rFonts w:ascii="Aptos Narrow" w:hAnsi="Aptos Narrow"/>
                <w:noProof/>
                <w:color w:val="00B050"/>
                <w:sz w:val="22"/>
                <w:szCs w:val="22"/>
                <w:lang w:eastAsia="en-IE"/>
              </w:rPr>
              <w:t>14,727</w:t>
            </w:r>
          </w:p>
        </w:tc>
        <w:tc>
          <w:tcPr>
            <w:tcW w:w="2510" w:type="dxa"/>
          </w:tcPr>
          <w:p w14:paraId="5525A202" w14:textId="77777777" w:rsidR="00DF34D1" w:rsidRPr="007073AD" w:rsidRDefault="00DF34D1" w:rsidP="00432FAC">
            <w:pPr>
              <w:spacing w:after="0"/>
              <w:jc w:val="center"/>
              <w:rPr>
                <w:rFonts w:ascii="Aptos Narrow" w:hAnsi="Aptos Narrow"/>
                <w:noProof/>
                <w:color w:val="00B050"/>
                <w:sz w:val="22"/>
                <w:szCs w:val="22"/>
                <w:lang w:eastAsia="en-IE"/>
              </w:rPr>
            </w:pPr>
            <w:r w:rsidRPr="007073AD">
              <w:rPr>
                <w:rFonts w:ascii="Aptos Narrow" w:hAnsi="Aptos Narrow"/>
                <w:noProof/>
                <w:color w:val="00B050"/>
                <w:sz w:val="22"/>
                <w:szCs w:val="22"/>
                <w:lang w:eastAsia="en-IE"/>
              </w:rPr>
              <w:t>19.28%</w:t>
            </w:r>
          </w:p>
        </w:tc>
      </w:tr>
      <w:tr w:rsidR="00DF34D1" w:rsidRPr="00C61F77" w14:paraId="1DF1C30C" w14:textId="77777777" w:rsidTr="00432FAC">
        <w:trPr>
          <w:trHeight w:val="290"/>
          <w:jc w:val="center"/>
        </w:trPr>
        <w:tc>
          <w:tcPr>
            <w:tcW w:w="2122" w:type="dxa"/>
            <w:noWrap/>
            <w:hideMark/>
          </w:tcPr>
          <w:p w14:paraId="6301545D" w14:textId="77777777" w:rsidR="00DF34D1" w:rsidRPr="007073AD" w:rsidRDefault="00DF34D1" w:rsidP="00432FAC">
            <w:pPr>
              <w:spacing w:after="0"/>
              <w:jc w:val="center"/>
              <w:rPr>
                <w:rFonts w:ascii="Aptos Narrow" w:hAnsi="Aptos Narrow"/>
                <w:noProof/>
                <w:color w:val="000000"/>
                <w:sz w:val="22"/>
                <w:szCs w:val="22"/>
                <w:lang w:eastAsia="en-IE"/>
              </w:rPr>
            </w:pPr>
            <w:r w:rsidRPr="007073AD">
              <w:rPr>
                <w:rFonts w:ascii="Aptos Narrow" w:hAnsi="Aptos Narrow"/>
                <w:noProof/>
                <w:color w:val="000000"/>
                <w:sz w:val="22"/>
                <w:szCs w:val="22"/>
                <w:lang w:eastAsia="en-IE"/>
              </w:rPr>
              <w:t>1.11.2014</w:t>
            </w:r>
          </w:p>
        </w:tc>
        <w:tc>
          <w:tcPr>
            <w:tcW w:w="3827" w:type="dxa"/>
            <w:noWrap/>
            <w:hideMark/>
          </w:tcPr>
          <w:p w14:paraId="450E6680" w14:textId="77777777" w:rsidR="00DF34D1" w:rsidRPr="007073AD" w:rsidRDefault="00DF34D1" w:rsidP="00432FAC">
            <w:pPr>
              <w:spacing w:after="0"/>
              <w:jc w:val="center"/>
              <w:rPr>
                <w:rFonts w:ascii="Aptos Narrow" w:hAnsi="Aptos Narrow"/>
                <w:noProof/>
                <w:color w:val="000000"/>
                <w:sz w:val="22"/>
                <w:szCs w:val="22"/>
                <w:lang w:eastAsia="en-IE"/>
              </w:rPr>
            </w:pPr>
            <w:r w:rsidRPr="007073AD">
              <w:rPr>
                <w:rFonts w:ascii="Aptos Narrow" w:hAnsi="Aptos Narrow"/>
                <w:noProof/>
                <w:color w:val="000000"/>
                <w:sz w:val="22"/>
                <w:szCs w:val="22"/>
                <w:lang w:eastAsia="en-IE"/>
              </w:rPr>
              <w:t>103,686</w:t>
            </w:r>
          </w:p>
        </w:tc>
        <w:tc>
          <w:tcPr>
            <w:tcW w:w="1987" w:type="dxa"/>
          </w:tcPr>
          <w:p w14:paraId="547F19DC" w14:textId="77777777" w:rsidR="00DF34D1" w:rsidRPr="007073AD" w:rsidRDefault="00DF34D1" w:rsidP="00432FAC">
            <w:pPr>
              <w:spacing w:after="0"/>
              <w:jc w:val="center"/>
              <w:rPr>
                <w:rFonts w:ascii="Aptos Narrow" w:hAnsi="Aptos Narrow"/>
                <w:noProof/>
                <w:color w:val="00B050"/>
                <w:sz w:val="22"/>
                <w:szCs w:val="22"/>
                <w:lang w:eastAsia="en-IE"/>
              </w:rPr>
            </w:pPr>
            <w:r w:rsidRPr="007073AD">
              <w:rPr>
                <w:rFonts w:ascii="Aptos Narrow" w:hAnsi="Aptos Narrow"/>
                <w:noProof/>
                <w:color w:val="00B050"/>
                <w:sz w:val="22"/>
                <w:szCs w:val="22"/>
                <w:lang w:eastAsia="en-IE"/>
              </w:rPr>
              <w:t>12,582</w:t>
            </w:r>
          </w:p>
        </w:tc>
        <w:tc>
          <w:tcPr>
            <w:tcW w:w="2510" w:type="dxa"/>
          </w:tcPr>
          <w:p w14:paraId="2B0FF333" w14:textId="77777777" w:rsidR="00DF34D1" w:rsidRPr="007073AD" w:rsidRDefault="00DF34D1" w:rsidP="00432FAC">
            <w:pPr>
              <w:spacing w:after="0"/>
              <w:jc w:val="center"/>
              <w:rPr>
                <w:rFonts w:ascii="Aptos Narrow" w:hAnsi="Aptos Narrow"/>
                <w:noProof/>
                <w:color w:val="00B050"/>
                <w:sz w:val="22"/>
                <w:szCs w:val="22"/>
                <w:lang w:eastAsia="en-IE"/>
              </w:rPr>
            </w:pPr>
            <w:r w:rsidRPr="007073AD">
              <w:rPr>
                <w:rFonts w:ascii="Aptos Narrow" w:hAnsi="Aptos Narrow"/>
                <w:noProof/>
                <w:color w:val="00B050"/>
                <w:sz w:val="22"/>
                <w:szCs w:val="22"/>
                <w:lang w:eastAsia="en-IE"/>
              </w:rPr>
              <w:t>13.81%</w:t>
            </w:r>
          </w:p>
        </w:tc>
      </w:tr>
      <w:tr w:rsidR="00DF34D1" w:rsidRPr="00C61F77" w14:paraId="131E69A4" w14:textId="77777777" w:rsidTr="00432FAC">
        <w:trPr>
          <w:trHeight w:val="290"/>
          <w:jc w:val="center"/>
        </w:trPr>
        <w:tc>
          <w:tcPr>
            <w:tcW w:w="2122" w:type="dxa"/>
            <w:noWrap/>
            <w:hideMark/>
          </w:tcPr>
          <w:p w14:paraId="5ED45CD4" w14:textId="77777777" w:rsidR="00DF34D1" w:rsidRPr="007073AD" w:rsidRDefault="00DF34D1" w:rsidP="00432FAC">
            <w:pPr>
              <w:spacing w:after="0"/>
              <w:jc w:val="center"/>
              <w:rPr>
                <w:rFonts w:ascii="Aptos Narrow" w:hAnsi="Aptos Narrow"/>
                <w:noProof/>
                <w:color w:val="000000"/>
                <w:sz w:val="22"/>
                <w:szCs w:val="22"/>
                <w:lang w:eastAsia="en-IE"/>
              </w:rPr>
            </w:pPr>
            <w:r w:rsidRPr="007073AD">
              <w:rPr>
                <w:rFonts w:ascii="Aptos Narrow" w:hAnsi="Aptos Narrow"/>
                <w:noProof/>
                <w:color w:val="000000"/>
                <w:sz w:val="22"/>
                <w:szCs w:val="22"/>
                <w:lang w:eastAsia="en-IE"/>
              </w:rPr>
              <w:t>1.11.2018</w:t>
            </w:r>
          </w:p>
        </w:tc>
        <w:tc>
          <w:tcPr>
            <w:tcW w:w="3827" w:type="dxa"/>
            <w:noWrap/>
            <w:hideMark/>
          </w:tcPr>
          <w:p w14:paraId="13FA1712" w14:textId="77777777" w:rsidR="00DF34D1" w:rsidRPr="007073AD" w:rsidRDefault="00DF34D1" w:rsidP="00432FAC">
            <w:pPr>
              <w:spacing w:after="0"/>
              <w:jc w:val="center"/>
              <w:rPr>
                <w:rFonts w:ascii="Aptos Narrow" w:hAnsi="Aptos Narrow"/>
                <w:noProof/>
                <w:color w:val="000000"/>
                <w:sz w:val="22"/>
                <w:szCs w:val="22"/>
                <w:lang w:eastAsia="en-IE"/>
              </w:rPr>
            </w:pPr>
            <w:r w:rsidRPr="007073AD">
              <w:rPr>
                <w:rFonts w:ascii="Aptos Narrow" w:hAnsi="Aptos Narrow"/>
                <w:noProof/>
                <w:color w:val="000000"/>
                <w:sz w:val="22"/>
                <w:szCs w:val="22"/>
                <w:lang w:eastAsia="en-IE"/>
              </w:rPr>
              <w:t>141,553</w:t>
            </w:r>
          </w:p>
        </w:tc>
        <w:tc>
          <w:tcPr>
            <w:tcW w:w="1987" w:type="dxa"/>
          </w:tcPr>
          <w:p w14:paraId="7C53D026" w14:textId="77777777" w:rsidR="00DF34D1" w:rsidRPr="007073AD" w:rsidRDefault="00DF34D1" w:rsidP="00432FAC">
            <w:pPr>
              <w:spacing w:after="0"/>
              <w:jc w:val="center"/>
              <w:rPr>
                <w:rFonts w:ascii="Aptos Narrow" w:hAnsi="Aptos Narrow"/>
                <w:noProof/>
                <w:color w:val="00B050"/>
                <w:sz w:val="22"/>
                <w:szCs w:val="22"/>
                <w:lang w:eastAsia="en-IE"/>
              </w:rPr>
            </w:pPr>
            <w:r w:rsidRPr="007073AD">
              <w:rPr>
                <w:rFonts w:ascii="Aptos Narrow" w:hAnsi="Aptos Narrow"/>
                <w:noProof/>
                <w:color w:val="00B050"/>
                <w:sz w:val="22"/>
                <w:szCs w:val="22"/>
                <w:lang w:eastAsia="en-IE"/>
              </w:rPr>
              <w:t>37,685</w:t>
            </w:r>
          </w:p>
        </w:tc>
        <w:tc>
          <w:tcPr>
            <w:tcW w:w="2510" w:type="dxa"/>
          </w:tcPr>
          <w:p w14:paraId="62A29AED" w14:textId="196E93C8" w:rsidR="00DF34D1" w:rsidRPr="007073AD" w:rsidRDefault="00DF34D1" w:rsidP="009C428D">
            <w:pPr>
              <w:spacing w:after="0"/>
              <w:jc w:val="center"/>
              <w:rPr>
                <w:rFonts w:ascii="Aptos Narrow" w:hAnsi="Aptos Narrow"/>
                <w:noProof/>
                <w:color w:val="00B050"/>
                <w:sz w:val="22"/>
                <w:szCs w:val="22"/>
                <w:lang w:eastAsia="en-IE"/>
              </w:rPr>
            </w:pPr>
            <w:r w:rsidRPr="007073AD">
              <w:rPr>
                <w:rFonts w:ascii="Aptos Narrow" w:hAnsi="Aptos Narrow"/>
                <w:noProof/>
                <w:color w:val="00B050"/>
                <w:sz w:val="22"/>
                <w:szCs w:val="22"/>
                <w:lang w:eastAsia="en-IE"/>
              </w:rPr>
              <w:t>36.28%</w:t>
            </w:r>
            <w:r w:rsidR="009C428D" w:rsidRPr="007073AD">
              <w:rPr>
                <w:rFonts w:ascii="Aptos Narrow" w:hAnsi="Aptos Narrow"/>
                <w:noProof/>
                <w:color w:val="00B050"/>
                <w:sz w:val="22"/>
                <w:szCs w:val="22"/>
                <w:lang w:eastAsia="en-IE"/>
              </w:rPr>
              <w:t xml:space="preserve"> </w:t>
            </w:r>
            <w:r w:rsidRPr="007073AD">
              <w:rPr>
                <w:rFonts w:ascii="Aptos Narrow" w:hAnsi="Aptos Narrow"/>
                <w:noProof/>
                <w:color w:val="00B050"/>
                <w:sz w:val="22"/>
                <w:szCs w:val="22"/>
                <w:lang w:eastAsia="en-IE"/>
              </w:rPr>
              <w:t xml:space="preserve">(this covers 4 years) </w:t>
            </w:r>
          </w:p>
        </w:tc>
      </w:tr>
    </w:tbl>
    <w:p w14:paraId="4E0D60CF" w14:textId="190AD327" w:rsidR="00DF34D1" w:rsidRPr="007073AD" w:rsidRDefault="00DF34D1" w:rsidP="00DF34D1">
      <w:pPr>
        <w:tabs>
          <w:tab w:val="left" w:pos="170"/>
        </w:tabs>
        <w:rPr>
          <w:noProof/>
        </w:rPr>
      </w:pPr>
      <w:r w:rsidRPr="007073AD">
        <w:rPr>
          <w:noProof/>
        </w:rPr>
        <w:t xml:space="preserve">The IKE </w:t>
      </w:r>
      <w:r w:rsidRPr="00354ADA">
        <w:rPr>
          <w:noProof/>
        </w:rPr>
        <w:t>in Greece is a privat</w:t>
      </w:r>
      <w:r>
        <w:rPr>
          <w:noProof/>
        </w:rPr>
        <w:t>e</w:t>
      </w:r>
      <w:r w:rsidRPr="00354ADA">
        <w:rPr>
          <w:noProof/>
        </w:rPr>
        <w:t xml:space="preserve"> limited liability company tailored for flexibility, startups and SMEs</w:t>
      </w:r>
      <w:r>
        <w:rPr>
          <w:noProof/>
        </w:rPr>
        <w:t>. T</w:t>
      </w:r>
      <w:r w:rsidRPr="007D1FC8">
        <w:rPr>
          <w:noProof/>
        </w:rPr>
        <w:t xml:space="preserve">he </w:t>
      </w:r>
      <w:r>
        <w:rPr>
          <w:noProof/>
        </w:rPr>
        <w:t>data from</w:t>
      </w:r>
      <w:r w:rsidRPr="007D1FC8">
        <w:rPr>
          <w:noProof/>
        </w:rPr>
        <w:t xml:space="preserve"> the Hellenic Statistical Authority </w:t>
      </w:r>
      <w:r>
        <w:rPr>
          <w:noProof/>
        </w:rPr>
        <w:t>for the period</w:t>
      </w:r>
      <w:r w:rsidRPr="007D1FC8">
        <w:rPr>
          <w:noProof/>
        </w:rPr>
        <w:t xml:space="preserve"> 2018-2022</w:t>
      </w:r>
      <w:r>
        <w:rPr>
          <w:noProof/>
        </w:rPr>
        <w:t xml:space="preserve"> show a clear positive trend.</w:t>
      </w:r>
      <w:r w:rsidRPr="007073AD">
        <w:rPr>
          <w:noProof/>
        </w:rPr>
        <w:t xml:space="preserve"> The Greek Business Register’s statistical data for IKE in 2025 shows it is by far the most used company form in Greece. The number of registered IKEs almost doubled over 3 years: </w:t>
      </w:r>
    </w:p>
    <w:tbl>
      <w:tblPr>
        <w:tblStyle w:val="TableGrid"/>
        <w:tblW w:w="0" w:type="auto"/>
        <w:jc w:val="center"/>
        <w:tblLook w:val="04A0" w:firstRow="1" w:lastRow="0" w:firstColumn="1" w:lastColumn="0" w:noHBand="0" w:noVBand="1"/>
      </w:tblPr>
      <w:tblGrid>
        <w:gridCol w:w="2122"/>
        <w:gridCol w:w="3827"/>
        <w:gridCol w:w="1244"/>
        <w:gridCol w:w="1640"/>
      </w:tblGrid>
      <w:tr w:rsidR="00DF34D1" w14:paraId="45BDB133" w14:textId="77777777" w:rsidTr="00432FAC">
        <w:trPr>
          <w:jc w:val="center"/>
        </w:trPr>
        <w:tc>
          <w:tcPr>
            <w:tcW w:w="10446" w:type="dxa"/>
            <w:gridSpan w:val="4"/>
            <w:tcBorders>
              <w:top w:val="single" w:sz="8" w:space="0" w:color="auto"/>
              <w:left w:val="single" w:sz="8" w:space="0" w:color="auto"/>
              <w:bottom w:val="single" w:sz="8" w:space="0" w:color="auto"/>
              <w:right w:val="single" w:sz="8" w:space="0" w:color="auto"/>
            </w:tcBorders>
          </w:tcPr>
          <w:p w14:paraId="7247C0D5" w14:textId="77777777" w:rsidR="00DF34D1" w:rsidRDefault="00DF34D1" w:rsidP="00432FAC">
            <w:pPr>
              <w:spacing w:after="0"/>
              <w:jc w:val="center"/>
              <w:rPr>
                <w:rFonts w:ascii="Aptos Narrow" w:hAnsi="Aptos Narrow"/>
                <w:b/>
                <w:bCs/>
                <w:noProof/>
                <w:color w:val="000000"/>
                <w:sz w:val="22"/>
                <w:szCs w:val="22"/>
              </w:rPr>
            </w:pPr>
            <w:r>
              <w:rPr>
                <w:rFonts w:ascii="Aptos Narrow" w:hAnsi="Aptos Narrow"/>
                <w:b/>
                <w:bCs/>
                <w:noProof/>
                <w:color w:val="000000"/>
                <w:sz w:val="22"/>
                <w:szCs w:val="22"/>
              </w:rPr>
              <w:t>EL – simplified private LLCs (IKE)</w:t>
            </w:r>
          </w:p>
        </w:tc>
      </w:tr>
      <w:tr w:rsidR="00DF34D1" w:rsidRPr="00C61F77" w14:paraId="6F7282AA" w14:textId="77777777" w:rsidTr="00432FAC">
        <w:trPr>
          <w:trHeight w:val="290"/>
          <w:jc w:val="center"/>
        </w:trPr>
        <w:tc>
          <w:tcPr>
            <w:tcW w:w="2122" w:type="dxa"/>
            <w:tcBorders>
              <w:top w:val="single" w:sz="8" w:space="0" w:color="auto"/>
              <w:left w:val="single" w:sz="8" w:space="0" w:color="auto"/>
              <w:bottom w:val="single" w:sz="8" w:space="0" w:color="auto"/>
              <w:right w:val="single" w:sz="8" w:space="0" w:color="auto"/>
            </w:tcBorders>
            <w:noWrap/>
            <w:vAlign w:val="bottom"/>
            <w:hideMark/>
          </w:tcPr>
          <w:p w14:paraId="1943DB41" w14:textId="77777777" w:rsidR="00DF34D1" w:rsidRPr="007073AD" w:rsidRDefault="00DF34D1" w:rsidP="00432FAC">
            <w:pPr>
              <w:spacing w:after="0"/>
              <w:jc w:val="center"/>
              <w:rPr>
                <w:rFonts w:ascii="Aptos Narrow" w:hAnsi="Aptos Narrow"/>
                <w:b/>
                <w:noProof/>
                <w:color w:val="000000"/>
                <w:sz w:val="22"/>
                <w:szCs w:val="22"/>
                <w:lang w:eastAsia="en-IE"/>
              </w:rPr>
            </w:pPr>
            <w:r w:rsidRPr="004804B9">
              <w:rPr>
                <w:rFonts w:ascii="Aptos Narrow" w:hAnsi="Aptos Narrow"/>
                <w:b/>
                <w:bCs/>
                <w:noProof/>
                <w:color w:val="000000"/>
                <w:sz w:val="22"/>
                <w:szCs w:val="22"/>
              </w:rPr>
              <w:t>Year</w:t>
            </w:r>
          </w:p>
        </w:tc>
        <w:tc>
          <w:tcPr>
            <w:tcW w:w="3827" w:type="dxa"/>
            <w:tcBorders>
              <w:top w:val="single" w:sz="8" w:space="0" w:color="auto"/>
              <w:left w:val="single" w:sz="8" w:space="0" w:color="auto"/>
              <w:bottom w:val="single" w:sz="8" w:space="0" w:color="auto"/>
              <w:right w:val="single" w:sz="8" w:space="0" w:color="auto"/>
            </w:tcBorders>
            <w:noWrap/>
            <w:vAlign w:val="bottom"/>
            <w:hideMark/>
          </w:tcPr>
          <w:p w14:paraId="5B3F0B67" w14:textId="77777777" w:rsidR="00DF34D1" w:rsidRPr="007073AD" w:rsidRDefault="00DF34D1" w:rsidP="00432FAC">
            <w:pPr>
              <w:spacing w:after="0"/>
              <w:jc w:val="center"/>
              <w:rPr>
                <w:rFonts w:ascii="Aptos Narrow" w:hAnsi="Aptos Narrow"/>
                <w:b/>
                <w:noProof/>
                <w:color w:val="000000"/>
                <w:sz w:val="22"/>
                <w:szCs w:val="22"/>
                <w:lang w:eastAsia="en-IE"/>
              </w:rPr>
            </w:pPr>
            <w:r w:rsidRPr="004804B9">
              <w:rPr>
                <w:rFonts w:ascii="Aptos Narrow" w:hAnsi="Aptos Narrow"/>
                <w:b/>
                <w:bCs/>
                <w:noProof/>
                <w:color w:val="000000"/>
                <w:sz w:val="22"/>
                <w:szCs w:val="22"/>
              </w:rPr>
              <w:t>Number of companies</w:t>
            </w:r>
          </w:p>
        </w:tc>
        <w:tc>
          <w:tcPr>
            <w:tcW w:w="1987" w:type="dxa"/>
            <w:tcBorders>
              <w:top w:val="single" w:sz="8" w:space="0" w:color="auto"/>
              <w:left w:val="single" w:sz="8" w:space="0" w:color="auto"/>
              <w:bottom w:val="single" w:sz="8" w:space="0" w:color="auto"/>
              <w:right w:val="single" w:sz="8" w:space="0" w:color="auto"/>
            </w:tcBorders>
          </w:tcPr>
          <w:p w14:paraId="1CA55080" w14:textId="77777777" w:rsidR="00DF34D1" w:rsidRPr="004804B9" w:rsidRDefault="00DF34D1" w:rsidP="00432FAC">
            <w:pPr>
              <w:spacing w:after="0"/>
              <w:jc w:val="center"/>
              <w:rPr>
                <w:rFonts w:ascii="Aptos Narrow" w:hAnsi="Aptos Narrow"/>
                <w:b/>
                <w:bCs/>
                <w:noProof/>
                <w:color w:val="000000"/>
                <w:sz w:val="22"/>
                <w:szCs w:val="22"/>
              </w:rPr>
            </w:pPr>
            <w:r>
              <w:rPr>
                <w:rFonts w:ascii="Aptos Narrow" w:hAnsi="Aptos Narrow"/>
                <w:b/>
                <w:bCs/>
                <w:noProof/>
                <w:color w:val="000000"/>
                <w:sz w:val="22"/>
                <w:szCs w:val="22"/>
              </w:rPr>
              <w:t xml:space="preserve">Change </w:t>
            </w:r>
          </w:p>
        </w:tc>
        <w:tc>
          <w:tcPr>
            <w:tcW w:w="2510" w:type="dxa"/>
            <w:tcBorders>
              <w:top w:val="single" w:sz="8" w:space="0" w:color="auto"/>
              <w:left w:val="single" w:sz="8" w:space="0" w:color="auto"/>
              <w:bottom w:val="single" w:sz="8" w:space="0" w:color="auto"/>
              <w:right w:val="single" w:sz="8" w:space="0" w:color="auto"/>
            </w:tcBorders>
          </w:tcPr>
          <w:p w14:paraId="0D0E0F6D" w14:textId="77777777" w:rsidR="00DF34D1" w:rsidRPr="004804B9" w:rsidRDefault="00DF34D1" w:rsidP="00432FAC">
            <w:pPr>
              <w:spacing w:after="0"/>
              <w:jc w:val="center"/>
              <w:rPr>
                <w:rFonts w:ascii="Aptos Narrow" w:hAnsi="Aptos Narrow"/>
                <w:b/>
                <w:bCs/>
                <w:noProof/>
                <w:color w:val="000000"/>
                <w:sz w:val="22"/>
                <w:szCs w:val="22"/>
              </w:rPr>
            </w:pPr>
            <w:r w:rsidRPr="004804B9">
              <w:rPr>
                <w:rFonts w:ascii="Aptos Narrow" w:hAnsi="Aptos Narrow"/>
                <w:b/>
                <w:bCs/>
                <w:noProof/>
                <w:color w:val="000000"/>
                <w:sz w:val="22"/>
                <w:szCs w:val="22"/>
              </w:rPr>
              <w:t>Percentage change</w:t>
            </w:r>
          </w:p>
        </w:tc>
      </w:tr>
      <w:tr w:rsidR="00DF34D1" w:rsidRPr="00C61F77" w14:paraId="2F2066C5" w14:textId="77777777" w:rsidTr="00432FAC">
        <w:trPr>
          <w:trHeight w:val="290"/>
          <w:jc w:val="center"/>
        </w:trPr>
        <w:tc>
          <w:tcPr>
            <w:tcW w:w="2122" w:type="dxa"/>
            <w:tcBorders>
              <w:top w:val="single" w:sz="8" w:space="0" w:color="auto"/>
              <w:left w:val="single" w:sz="8" w:space="0" w:color="auto"/>
              <w:bottom w:val="single" w:sz="8" w:space="0" w:color="auto"/>
              <w:right w:val="single" w:sz="8" w:space="0" w:color="auto"/>
            </w:tcBorders>
            <w:noWrap/>
            <w:vAlign w:val="bottom"/>
            <w:hideMark/>
          </w:tcPr>
          <w:p w14:paraId="170BAB32" w14:textId="77777777" w:rsidR="00DF34D1" w:rsidRPr="007073AD" w:rsidRDefault="00DF34D1" w:rsidP="00432FAC">
            <w:pPr>
              <w:spacing w:after="0"/>
              <w:jc w:val="center"/>
              <w:rPr>
                <w:rFonts w:ascii="Aptos Narrow" w:hAnsi="Aptos Narrow"/>
                <w:noProof/>
                <w:color w:val="000000"/>
                <w:sz w:val="22"/>
                <w:szCs w:val="22"/>
                <w:lang w:eastAsia="en-IE"/>
              </w:rPr>
            </w:pPr>
            <w:r>
              <w:rPr>
                <w:rFonts w:ascii="Aptos Narrow" w:hAnsi="Aptos Narrow"/>
                <w:noProof/>
                <w:color w:val="000000"/>
                <w:sz w:val="22"/>
                <w:szCs w:val="22"/>
              </w:rPr>
              <w:t>2018</w:t>
            </w:r>
          </w:p>
        </w:tc>
        <w:tc>
          <w:tcPr>
            <w:tcW w:w="3827" w:type="dxa"/>
            <w:tcBorders>
              <w:top w:val="single" w:sz="8" w:space="0" w:color="auto"/>
              <w:left w:val="single" w:sz="8" w:space="0" w:color="auto"/>
              <w:bottom w:val="single" w:sz="8" w:space="0" w:color="auto"/>
              <w:right w:val="single" w:sz="8" w:space="0" w:color="auto"/>
            </w:tcBorders>
            <w:noWrap/>
            <w:vAlign w:val="bottom"/>
            <w:hideMark/>
          </w:tcPr>
          <w:p w14:paraId="35B36552" w14:textId="77777777" w:rsidR="00DF34D1" w:rsidRPr="007073AD" w:rsidRDefault="00DF34D1" w:rsidP="00432FAC">
            <w:pPr>
              <w:spacing w:after="0"/>
              <w:jc w:val="center"/>
              <w:rPr>
                <w:rFonts w:ascii="Aptos Narrow" w:hAnsi="Aptos Narrow"/>
                <w:noProof/>
                <w:color w:val="000000"/>
                <w:sz w:val="22"/>
                <w:szCs w:val="22"/>
                <w:lang w:eastAsia="en-IE"/>
              </w:rPr>
            </w:pPr>
            <w:r>
              <w:rPr>
                <w:rFonts w:ascii="Aptos Narrow" w:hAnsi="Aptos Narrow"/>
                <w:noProof/>
                <w:color w:val="000000"/>
                <w:sz w:val="22"/>
                <w:szCs w:val="22"/>
              </w:rPr>
              <w:t>27,016</w:t>
            </w:r>
          </w:p>
        </w:tc>
        <w:tc>
          <w:tcPr>
            <w:tcW w:w="1987" w:type="dxa"/>
            <w:tcBorders>
              <w:top w:val="single" w:sz="8" w:space="0" w:color="auto"/>
              <w:left w:val="single" w:sz="8" w:space="0" w:color="auto"/>
              <w:bottom w:val="single" w:sz="8" w:space="0" w:color="auto"/>
              <w:right w:val="single" w:sz="8" w:space="0" w:color="auto"/>
            </w:tcBorders>
          </w:tcPr>
          <w:p w14:paraId="3E42D18E" w14:textId="77777777" w:rsidR="00DF34D1" w:rsidRDefault="00DF34D1" w:rsidP="00432FAC">
            <w:pPr>
              <w:spacing w:after="0"/>
              <w:jc w:val="center"/>
              <w:rPr>
                <w:rFonts w:ascii="Aptos Narrow" w:hAnsi="Aptos Narrow"/>
                <w:noProof/>
                <w:color w:val="000000"/>
                <w:sz w:val="22"/>
                <w:szCs w:val="22"/>
              </w:rPr>
            </w:pPr>
          </w:p>
        </w:tc>
        <w:tc>
          <w:tcPr>
            <w:tcW w:w="2510" w:type="dxa"/>
            <w:tcBorders>
              <w:top w:val="single" w:sz="8" w:space="0" w:color="auto"/>
              <w:left w:val="single" w:sz="8" w:space="0" w:color="auto"/>
              <w:bottom w:val="single" w:sz="8" w:space="0" w:color="auto"/>
              <w:right w:val="single" w:sz="8" w:space="0" w:color="auto"/>
            </w:tcBorders>
          </w:tcPr>
          <w:p w14:paraId="246E1B77" w14:textId="77777777" w:rsidR="00DF34D1" w:rsidRDefault="00DF34D1" w:rsidP="00432FAC">
            <w:pPr>
              <w:spacing w:after="0"/>
              <w:jc w:val="center"/>
              <w:rPr>
                <w:rFonts w:ascii="Aptos Narrow" w:hAnsi="Aptos Narrow"/>
                <w:noProof/>
                <w:color w:val="000000"/>
                <w:sz w:val="22"/>
                <w:szCs w:val="22"/>
              </w:rPr>
            </w:pPr>
          </w:p>
        </w:tc>
      </w:tr>
      <w:tr w:rsidR="00DF34D1" w:rsidRPr="00C61F77" w14:paraId="29069BC4" w14:textId="77777777" w:rsidTr="00432FAC">
        <w:trPr>
          <w:trHeight w:val="290"/>
          <w:jc w:val="center"/>
        </w:trPr>
        <w:tc>
          <w:tcPr>
            <w:tcW w:w="2122" w:type="dxa"/>
            <w:tcBorders>
              <w:top w:val="single" w:sz="8" w:space="0" w:color="auto"/>
              <w:left w:val="single" w:sz="8" w:space="0" w:color="auto"/>
              <w:bottom w:val="single" w:sz="8" w:space="0" w:color="auto"/>
              <w:right w:val="single" w:sz="8" w:space="0" w:color="auto"/>
            </w:tcBorders>
            <w:noWrap/>
            <w:vAlign w:val="bottom"/>
            <w:hideMark/>
          </w:tcPr>
          <w:p w14:paraId="0913526F" w14:textId="77777777" w:rsidR="00DF34D1" w:rsidRPr="007073AD" w:rsidRDefault="00DF34D1" w:rsidP="00432FAC">
            <w:pPr>
              <w:spacing w:after="0"/>
              <w:jc w:val="center"/>
              <w:rPr>
                <w:rFonts w:ascii="Aptos Narrow" w:hAnsi="Aptos Narrow"/>
                <w:noProof/>
                <w:color w:val="000000"/>
                <w:sz w:val="22"/>
                <w:szCs w:val="22"/>
                <w:lang w:eastAsia="en-IE"/>
              </w:rPr>
            </w:pPr>
            <w:r>
              <w:rPr>
                <w:rFonts w:ascii="Aptos Narrow" w:hAnsi="Aptos Narrow"/>
                <w:noProof/>
                <w:color w:val="000000"/>
                <w:sz w:val="22"/>
                <w:szCs w:val="22"/>
              </w:rPr>
              <w:t>2019</w:t>
            </w:r>
          </w:p>
        </w:tc>
        <w:tc>
          <w:tcPr>
            <w:tcW w:w="3827" w:type="dxa"/>
            <w:tcBorders>
              <w:top w:val="single" w:sz="8" w:space="0" w:color="auto"/>
              <w:left w:val="single" w:sz="8" w:space="0" w:color="auto"/>
              <w:bottom w:val="single" w:sz="8" w:space="0" w:color="auto"/>
              <w:right w:val="single" w:sz="8" w:space="0" w:color="auto"/>
            </w:tcBorders>
            <w:noWrap/>
            <w:vAlign w:val="bottom"/>
            <w:hideMark/>
          </w:tcPr>
          <w:p w14:paraId="454E2F03" w14:textId="77777777" w:rsidR="00DF34D1" w:rsidRPr="007073AD" w:rsidRDefault="00DF34D1" w:rsidP="00432FAC">
            <w:pPr>
              <w:spacing w:after="0"/>
              <w:jc w:val="center"/>
              <w:rPr>
                <w:rFonts w:ascii="Aptos Narrow" w:hAnsi="Aptos Narrow"/>
                <w:noProof/>
                <w:color w:val="000000"/>
                <w:sz w:val="22"/>
                <w:szCs w:val="22"/>
                <w:lang w:eastAsia="en-IE"/>
              </w:rPr>
            </w:pPr>
            <w:r>
              <w:rPr>
                <w:rFonts w:ascii="Aptos Narrow" w:hAnsi="Aptos Narrow"/>
                <w:noProof/>
                <w:color w:val="000000"/>
                <w:sz w:val="22"/>
                <w:szCs w:val="22"/>
              </w:rPr>
              <w:t>34,337</w:t>
            </w:r>
          </w:p>
        </w:tc>
        <w:tc>
          <w:tcPr>
            <w:tcW w:w="1987" w:type="dxa"/>
            <w:tcBorders>
              <w:top w:val="single" w:sz="8" w:space="0" w:color="auto"/>
              <w:left w:val="single" w:sz="8" w:space="0" w:color="auto"/>
              <w:bottom w:val="single" w:sz="8" w:space="0" w:color="auto"/>
              <w:right w:val="single" w:sz="8" w:space="0" w:color="auto"/>
            </w:tcBorders>
          </w:tcPr>
          <w:p w14:paraId="636E52E4" w14:textId="77777777" w:rsidR="00DF34D1" w:rsidRPr="009C428D" w:rsidRDefault="00DF34D1" w:rsidP="00432FAC">
            <w:pPr>
              <w:spacing w:after="0"/>
              <w:jc w:val="center"/>
              <w:rPr>
                <w:rFonts w:ascii="Aptos Narrow" w:hAnsi="Aptos Narrow"/>
                <w:noProof/>
                <w:color w:val="00B050"/>
                <w:sz w:val="22"/>
                <w:szCs w:val="22"/>
              </w:rPr>
            </w:pPr>
            <w:r w:rsidRPr="009C428D">
              <w:rPr>
                <w:rFonts w:ascii="Aptos Narrow" w:hAnsi="Aptos Narrow"/>
                <w:noProof/>
                <w:color w:val="00B050"/>
                <w:sz w:val="22"/>
                <w:szCs w:val="22"/>
              </w:rPr>
              <w:t>7,321</w:t>
            </w:r>
          </w:p>
        </w:tc>
        <w:tc>
          <w:tcPr>
            <w:tcW w:w="2510" w:type="dxa"/>
            <w:tcBorders>
              <w:top w:val="single" w:sz="8" w:space="0" w:color="auto"/>
              <w:left w:val="single" w:sz="8" w:space="0" w:color="auto"/>
              <w:bottom w:val="single" w:sz="8" w:space="0" w:color="auto"/>
              <w:right w:val="single" w:sz="8" w:space="0" w:color="auto"/>
            </w:tcBorders>
          </w:tcPr>
          <w:p w14:paraId="1A6ED5A3" w14:textId="77777777" w:rsidR="00DF34D1" w:rsidRPr="009C428D" w:rsidRDefault="00DF34D1" w:rsidP="00432FAC">
            <w:pPr>
              <w:spacing w:after="0"/>
              <w:jc w:val="center"/>
              <w:rPr>
                <w:rFonts w:ascii="Aptos Narrow" w:hAnsi="Aptos Narrow"/>
                <w:noProof/>
                <w:color w:val="00B050"/>
                <w:sz w:val="22"/>
                <w:szCs w:val="22"/>
              </w:rPr>
            </w:pPr>
            <w:r w:rsidRPr="009C428D">
              <w:rPr>
                <w:rFonts w:ascii="Aptos Narrow" w:hAnsi="Aptos Narrow"/>
                <w:noProof/>
                <w:color w:val="00B050"/>
                <w:sz w:val="22"/>
                <w:szCs w:val="22"/>
              </w:rPr>
              <w:t>27.10%</w:t>
            </w:r>
          </w:p>
        </w:tc>
      </w:tr>
      <w:tr w:rsidR="00DF34D1" w:rsidRPr="00C61F77" w14:paraId="103A3F13" w14:textId="77777777" w:rsidTr="00432FAC">
        <w:trPr>
          <w:trHeight w:val="290"/>
          <w:jc w:val="center"/>
        </w:trPr>
        <w:tc>
          <w:tcPr>
            <w:tcW w:w="2122" w:type="dxa"/>
            <w:tcBorders>
              <w:top w:val="single" w:sz="8" w:space="0" w:color="auto"/>
              <w:left w:val="single" w:sz="8" w:space="0" w:color="auto"/>
              <w:bottom w:val="single" w:sz="8" w:space="0" w:color="auto"/>
              <w:right w:val="single" w:sz="8" w:space="0" w:color="auto"/>
            </w:tcBorders>
            <w:noWrap/>
            <w:vAlign w:val="bottom"/>
            <w:hideMark/>
          </w:tcPr>
          <w:p w14:paraId="7D9287F7" w14:textId="77777777" w:rsidR="00DF34D1" w:rsidRPr="007073AD" w:rsidRDefault="00DF34D1" w:rsidP="00432FAC">
            <w:pPr>
              <w:spacing w:after="0"/>
              <w:jc w:val="center"/>
              <w:rPr>
                <w:rFonts w:ascii="Aptos Narrow" w:hAnsi="Aptos Narrow"/>
                <w:noProof/>
                <w:color w:val="000000"/>
                <w:sz w:val="22"/>
                <w:szCs w:val="22"/>
                <w:lang w:eastAsia="en-IE"/>
              </w:rPr>
            </w:pPr>
            <w:r>
              <w:rPr>
                <w:rFonts w:ascii="Aptos Narrow" w:hAnsi="Aptos Narrow"/>
                <w:noProof/>
                <w:color w:val="000000"/>
                <w:sz w:val="22"/>
                <w:szCs w:val="22"/>
              </w:rPr>
              <w:t>2020</w:t>
            </w:r>
          </w:p>
        </w:tc>
        <w:tc>
          <w:tcPr>
            <w:tcW w:w="3827" w:type="dxa"/>
            <w:tcBorders>
              <w:top w:val="single" w:sz="8" w:space="0" w:color="auto"/>
              <w:left w:val="single" w:sz="8" w:space="0" w:color="auto"/>
              <w:bottom w:val="single" w:sz="8" w:space="0" w:color="auto"/>
              <w:right w:val="single" w:sz="8" w:space="0" w:color="auto"/>
            </w:tcBorders>
            <w:noWrap/>
            <w:vAlign w:val="bottom"/>
            <w:hideMark/>
          </w:tcPr>
          <w:p w14:paraId="7976FFCB" w14:textId="77777777" w:rsidR="00DF34D1" w:rsidRPr="007073AD" w:rsidRDefault="00DF34D1" w:rsidP="00432FAC">
            <w:pPr>
              <w:spacing w:after="0"/>
              <w:jc w:val="center"/>
              <w:rPr>
                <w:rFonts w:ascii="Aptos Narrow" w:hAnsi="Aptos Narrow"/>
                <w:noProof/>
                <w:color w:val="000000"/>
                <w:sz w:val="22"/>
                <w:szCs w:val="22"/>
                <w:lang w:eastAsia="en-IE"/>
              </w:rPr>
            </w:pPr>
            <w:r>
              <w:rPr>
                <w:rFonts w:ascii="Aptos Narrow" w:hAnsi="Aptos Narrow"/>
                <w:noProof/>
                <w:color w:val="000000"/>
                <w:sz w:val="22"/>
                <w:szCs w:val="22"/>
              </w:rPr>
              <w:t>39,441</w:t>
            </w:r>
          </w:p>
        </w:tc>
        <w:tc>
          <w:tcPr>
            <w:tcW w:w="1987" w:type="dxa"/>
            <w:tcBorders>
              <w:top w:val="single" w:sz="8" w:space="0" w:color="auto"/>
              <w:left w:val="single" w:sz="8" w:space="0" w:color="auto"/>
              <w:bottom w:val="single" w:sz="8" w:space="0" w:color="auto"/>
              <w:right w:val="single" w:sz="8" w:space="0" w:color="auto"/>
            </w:tcBorders>
          </w:tcPr>
          <w:p w14:paraId="654012B1" w14:textId="77777777" w:rsidR="00DF34D1" w:rsidRPr="009C428D" w:rsidRDefault="00DF34D1" w:rsidP="00432FAC">
            <w:pPr>
              <w:spacing w:after="0"/>
              <w:jc w:val="center"/>
              <w:rPr>
                <w:rFonts w:ascii="Aptos Narrow" w:hAnsi="Aptos Narrow"/>
                <w:noProof/>
                <w:color w:val="00B050"/>
                <w:sz w:val="22"/>
                <w:szCs w:val="22"/>
              </w:rPr>
            </w:pPr>
            <w:r w:rsidRPr="009C428D">
              <w:rPr>
                <w:rFonts w:ascii="Aptos Narrow" w:hAnsi="Aptos Narrow"/>
                <w:noProof/>
                <w:color w:val="00B050"/>
                <w:sz w:val="22"/>
                <w:szCs w:val="22"/>
              </w:rPr>
              <w:t>5,104</w:t>
            </w:r>
          </w:p>
        </w:tc>
        <w:tc>
          <w:tcPr>
            <w:tcW w:w="2510" w:type="dxa"/>
            <w:tcBorders>
              <w:top w:val="single" w:sz="8" w:space="0" w:color="auto"/>
              <w:left w:val="single" w:sz="8" w:space="0" w:color="auto"/>
              <w:bottom w:val="single" w:sz="8" w:space="0" w:color="auto"/>
              <w:right w:val="single" w:sz="8" w:space="0" w:color="auto"/>
            </w:tcBorders>
          </w:tcPr>
          <w:p w14:paraId="661A0B8E" w14:textId="77777777" w:rsidR="00DF34D1" w:rsidRPr="009C428D" w:rsidRDefault="00DF34D1" w:rsidP="00432FAC">
            <w:pPr>
              <w:spacing w:after="0"/>
              <w:jc w:val="center"/>
              <w:rPr>
                <w:rFonts w:ascii="Aptos Narrow" w:hAnsi="Aptos Narrow"/>
                <w:noProof/>
                <w:color w:val="00B050"/>
                <w:sz w:val="22"/>
                <w:szCs w:val="22"/>
              </w:rPr>
            </w:pPr>
            <w:r w:rsidRPr="009C428D">
              <w:rPr>
                <w:rFonts w:ascii="Aptos Narrow" w:hAnsi="Aptos Narrow"/>
                <w:noProof/>
                <w:color w:val="00B050"/>
                <w:sz w:val="22"/>
                <w:szCs w:val="22"/>
              </w:rPr>
              <w:t>14.86%</w:t>
            </w:r>
          </w:p>
        </w:tc>
      </w:tr>
      <w:tr w:rsidR="00DF34D1" w:rsidRPr="00C61F77" w14:paraId="7575CA84" w14:textId="77777777" w:rsidTr="00432FAC">
        <w:trPr>
          <w:trHeight w:val="290"/>
          <w:jc w:val="center"/>
        </w:trPr>
        <w:tc>
          <w:tcPr>
            <w:tcW w:w="2122" w:type="dxa"/>
            <w:tcBorders>
              <w:top w:val="single" w:sz="8" w:space="0" w:color="auto"/>
              <w:left w:val="single" w:sz="8" w:space="0" w:color="auto"/>
              <w:bottom w:val="single" w:sz="8" w:space="0" w:color="auto"/>
              <w:right w:val="single" w:sz="8" w:space="0" w:color="auto"/>
            </w:tcBorders>
            <w:noWrap/>
            <w:vAlign w:val="bottom"/>
            <w:hideMark/>
          </w:tcPr>
          <w:p w14:paraId="25927261" w14:textId="77777777" w:rsidR="00DF34D1" w:rsidRPr="007073AD" w:rsidRDefault="00DF34D1" w:rsidP="00432FAC">
            <w:pPr>
              <w:spacing w:after="0"/>
              <w:jc w:val="center"/>
              <w:rPr>
                <w:rFonts w:ascii="Aptos Narrow" w:hAnsi="Aptos Narrow"/>
                <w:noProof/>
                <w:color w:val="000000"/>
                <w:sz w:val="22"/>
                <w:szCs w:val="22"/>
                <w:lang w:eastAsia="en-IE"/>
              </w:rPr>
            </w:pPr>
            <w:r>
              <w:rPr>
                <w:rFonts w:ascii="Aptos Narrow" w:hAnsi="Aptos Narrow"/>
                <w:noProof/>
                <w:color w:val="000000"/>
                <w:sz w:val="22"/>
                <w:szCs w:val="22"/>
              </w:rPr>
              <w:t>2021</w:t>
            </w:r>
          </w:p>
        </w:tc>
        <w:tc>
          <w:tcPr>
            <w:tcW w:w="3827" w:type="dxa"/>
            <w:tcBorders>
              <w:top w:val="single" w:sz="8" w:space="0" w:color="auto"/>
              <w:left w:val="single" w:sz="8" w:space="0" w:color="auto"/>
              <w:bottom w:val="single" w:sz="8" w:space="0" w:color="auto"/>
              <w:right w:val="single" w:sz="8" w:space="0" w:color="auto"/>
            </w:tcBorders>
            <w:noWrap/>
            <w:vAlign w:val="bottom"/>
            <w:hideMark/>
          </w:tcPr>
          <w:p w14:paraId="7E3AA8BC" w14:textId="77777777" w:rsidR="00DF34D1" w:rsidRPr="007073AD" w:rsidRDefault="00DF34D1" w:rsidP="00432FAC">
            <w:pPr>
              <w:spacing w:after="0"/>
              <w:jc w:val="center"/>
              <w:rPr>
                <w:rFonts w:ascii="Aptos Narrow" w:hAnsi="Aptos Narrow"/>
                <w:noProof/>
                <w:color w:val="000000"/>
                <w:sz w:val="22"/>
                <w:szCs w:val="22"/>
                <w:lang w:eastAsia="en-IE"/>
              </w:rPr>
            </w:pPr>
            <w:r>
              <w:rPr>
                <w:rFonts w:ascii="Aptos Narrow" w:hAnsi="Aptos Narrow"/>
                <w:noProof/>
                <w:color w:val="000000"/>
                <w:sz w:val="22"/>
                <w:szCs w:val="22"/>
              </w:rPr>
              <w:t>46,456</w:t>
            </w:r>
          </w:p>
        </w:tc>
        <w:tc>
          <w:tcPr>
            <w:tcW w:w="1987" w:type="dxa"/>
            <w:tcBorders>
              <w:top w:val="single" w:sz="8" w:space="0" w:color="auto"/>
              <w:left w:val="single" w:sz="8" w:space="0" w:color="auto"/>
              <w:bottom w:val="single" w:sz="8" w:space="0" w:color="auto"/>
              <w:right w:val="single" w:sz="8" w:space="0" w:color="auto"/>
            </w:tcBorders>
          </w:tcPr>
          <w:p w14:paraId="2B6828A9" w14:textId="77777777" w:rsidR="00DF34D1" w:rsidRPr="009C428D" w:rsidRDefault="00DF34D1" w:rsidP="00432FAC">
            <w:pPr>
              <w:spacing w:after="0"/>
              <w:jc w:val="center"/>
              <w:rPr>
                <w:rFonts w:ascii="Aptos Narrow" w:hAnsi="Aptos Narrow"/>
                <w:noProof/>
                <w:color w:val="00B050"/>
                <w:sz w:val="22"/>
                <w:szCs w:val="22"/>
              </w:rPr>
            </w:pPr>
            <w:r w:rsidRPr="009C428D">
              <w:rPr>
                <w:rFonts w:ascii="Aptos Narrow" w:hAnsi="Aptos Narrow"/>
                <w:noProof/>
                <w:color w:val="00B050"/>
                <w:sz w:val="22"/>
                <w:szCs w:val="22"/>
              </w:rPr>
              <w:t>7,015</w:t>
            </w:r>
          </w:p>
        </w:tc>
        <w:tc>
          <w:tcPr>
            <w:tcW w:w="2510" w:type="dxa"/>
            <w:tcBorders>
              <w:top w:val="single" w:sz="8" w:space="0" w:color="auto"/>
              <w:left w:val="single" w:sz="8" w:space="0" w:color="auto"/>
              <w:bottom w:val="single" w:sz="8" w:space="0" w:color="auto"/>
              <w:right w:val="single" w:sz="8" w:space="0" w:color="auto"/>
            </w:tcBorders>
          </w:tcPr>
          <w:p w14:paraId="55ECB8AE" w14:textId="77777777" w:rsidR="00DF34D1" w:rsidRPr="009C428D" w:rsidRDefault="00DF34D1" w:rsidP="00432FAC">
            <w:pPr>
              <w:spacing w:after="0"/>
              <w:jc w:val="center"/>
              <w:rPr>
                <w:rFonts w:ascii="Aptos Narrow" w:hAnsi="Aptos Narrow"/>
                <w:noProof/>
                <w:color w:val="00B050"/>
                <w:sz w:val="22"/>
                <w:szCs w:val="22"/>
              </w:rPr>
            </w:pPr>
            <w:r w:rsidRPr="009C428D">
              <w:rPr>
                <w:rFonts w:ascii="Aptos Narrow" w:hAnsi="Aptos Narrow"/>
                <w:noProof/>
                <w:color w:val="00B050"/>
                <w:sz w:val="22"/>
                <w:szCs w:val="22"/>
              </w:rPr>
              <w:t>17.79%</w:t>
            </w:r>
          </w:p>
        </w:tc>
      </w:tr>
      <w:tr w:rsidR="00DF34D1" w:rsidRPr="00C61F77" w14:paraId="7C645269" w14:textId="77777777" w:rsidTr="00432FAC">
        <w:trPr>
          <w:trHeight w:val="290"/>
          <w:jc w:val="center"/>
        </w:trPr>
        <w:tc>
          <w:tcPr>
            <w:tcW w:w="2122" w:type="dxa"/>
            <w:tcBorders>
              <w:top w:val="single" w:sz="8" w:space="0" w:color="auto"/>
              <w:left w:val="single" w:sz="8" w:space="0" w:color="auto"/>
              <w:bottom w:val="single" w:sz="8" w:space="0" w:color="auto"/>
              <w:right w:val="single" w:sz="8" w:space="0" w:color="auto"/>
            </w:tcBorders>
            <w:noWrap/>
            <w:vAlign w:val="bottom"/>
            <w:hideMark/>
          </w:tcPr>
          <w:p w14:paraId="42E72BF4" w14:textId="77777777" w:rsidR="00DF34D1" w:rsidRPr="007073AD" w:rsidRDefault="00DF34D1" w:rsidP="00432FAC">
            <w:pPr>
              <w:spacing w:after="0"/>
              <w:jc w:val="center"/>
              <w:rPr>
                <w:rFonts w:ascii="Aptos Narrow" w:hAnsi="Aptos Narrow"/>
                <w:noProof/>
                <w:color w:val="000000"/>
                <w:sz w:val="22"/>
                <w:szCs w:val="22"/>
                <w:lang w:eastAsia="en-IE"/>
              </w:rPr>
            </w:pPr>
            <w:r>
              <w:rPr>
                <w:rFonts w:ascii="Aptos Narrow" w:hAnsi="Aptos Narrow"/>
                <w:noProof/>
                <w:color w:val="000000"/>
                <w:sz w:val="22"/>
                <w:szCs w:val="22"/>
              </w:rPr>
              <w:t>2022</w:t>
            </w:r>
          </w:p>
        </w:tc>
        <w:tc>
          <w:tcPr>
            <w:tcW w:w="3827" w:type="dxa"/>
            <w:tcBorders>
              <w:top w:val="single" w:sz="8" w:space="0" w:color="auto"/>
              <w:left w:val="single" w:sz="8" w:space="0" w:color="auto"/>
              <w:bottom w:val="single" w:sz="8" w:space="0" w:color="auto"/>
              <w:right w:val="single" w:sz="8" w:space="0" w:color="auto"/>
            </w:tcBorders>
            <w:noWrap/>
            <w:vAlign w:val="bottom"/>
            <w:hideMark/>
          </w:tcPr>
          <w:p w14:paraId="398E0F2D" w14:textId="77777777" w:rsidR="00DF34D1" w:rsidRPr="007073AD" w:rsidRDefault="00DF34D1" w:rsidP="00432FAC">
            <w:pPr>
              <w:spacing w:after="0"/>
              <w:jc w:val="center"/>
              <w:rPr>
                <w:rFonts w:ascii="Aptos Narrow" w:hAnsi="Aptos Narrow"/>
                <w:noProof/>
                <w:color w:val="000000"/>
                <w:sz w:val="22"/>
                <w:szCs w:val="22"/>
                <w:lang w:eastAsia="en-IE"/>
              </w:rPr>
            </w:pPr>
            <w:r>
              <w:rPr>
                <w:rFonts w:ascii="Aptos Narrow" w:hAnsi="Aptos Narrow"/>
                <w:noProof/>
                <w:color w:val="000000"/>
                <w:sz w:val="22"/>
                <w:szCs w:val="22"/>
              </w:rPr>
              <w:t>56,797</w:t>
            </w:r>
          </w:p>
        </w:tc>
        <w:tc>
          <w:tcPr>
            <w:tcW w:w="1987" w:type="dxa"/>
            <w:tcBorders>
              <w:top w:val="single" w:sz="8" w:space="0" w:color="auto"/>
              <w:left w:val="single" w:sz="8" w:space="0" w:color="auto"/>
              <w:bottom w:val="single" w:sz="8" w:space="0" w:color="auto"/>
              <w:right w:val="single" w:sz="8" w:space="0" w:color="auto"/>
            </w:tcBorders>
          </w:tcPr>
          <w:p w14:paraId="19E8FB88" w14:textId="77777777" w:rsidR="00DF34D1" w:rsidRPr="009C428D" w:rsidRDefault="00DF34D1" w:rsidP="00432FAC">
            <w:pPr>
              <w:spacing w:after="0"/>
              <w:jc w:val="center"/>
              <w:rPr>
                <w:rFonts w:ascii="Aptos Narrow" w:hAnsi="Aptos Narrow"/>
                <w:noProof/>
                <w:color w:val="00B050"/>
                <w:sz w:val="22"/>
                <w:szCs w:val="22"/>
              </w:rPr>
            </w:pPr>
            <w:r w:rsidRPr="009C428D">
              <w:rPr>
                <w:rFonts w:ascii="Aptos Narrow" w:hAnsi="Aptos Narrow"/>
                <w:noProof/>
                <w:color w:val="00B050"/>
                <w:sz w:val="22"/>
                <w:szCs w:val="22"/>
              </w:rPr>
              <w:t>10,344</w:t>
            </w:r>
          </w:p>
        </w:tc>
        <w:tc>
          <w:tcPr>
            <w:tcW w:w="2510" w:type="dxa"/>
            <w:tcBorders>
              <w:top w:val="single" w:sz="8" w:space="0" w:color="auto"/>
              <w:left w:val="single" w:sz="8" w:space="0" w:color="auto"/>
              <w:bottom w:val="single" w:sz="8" w:space="0" w:color="auto"/>
              <w:right w:val="single" w:sz="8" w:space="0" w:color="auto"/>
            </w:tcBorders>
          </w:tcPr>
          <w:p w14:paraId="1A063D24" w14:textId="77777777" w:rsidR="00DF34D1" w:rsidRPr="009C428D" w:rsidRDefault="00DF34D1" w:rsidP="00432FAC">
            <w:pPr>
              <w:spacing w:after="0"/>
              <w:jc w:val="center"/>
              <w:rPr>
                <w:rFonts w:ascii="Aptos Narrow" w:hAnsi="Aptos Narrow"/>
                <w:noProof/>
                <w:color w:val="00B050"/>
                <w:sz w:val="22"/>
                <w:szCs w:val="22"/>
              </w:rPr>
            </w:pPr>
            <w:r w:rsidRPr="009C428D">
              <w:rPr>
                <w:rFonts w:ascii="Aptos Narrow" w:hAnsi="Aptos Narrow"/>
                <w:noProof/>
                <w:color w:val="00B050"/>
                <w:sz w:val="22"/>
                <w:szCs w:val="22"/>
              </w:rPr>
              <w:t>22.27%</w:t>
            </w:r>
          </w:p>
        </w:tc>
      </w:tr>
      <w:tr w:rsidR="00DF34D1" w:rsidRPr="00C61F77" w14:paraId="3184893C" w14:textId="77777777" w:rsidTr="00432FAC">
        <w:trPr>
          <w:trHeight w:val="290"/>
          <w:jc w:val="center"/>
        </w:trPr>
        <w:tc>
          <w:tcPr>
            <w:tcW w:w="2122" w:type="dxa"/>
            <w:tcBorders>
              <w:top w:val="single" w:sz="8" w:space="0" w:color="auto"/>
              <w:left w:val="single" w:sz="8" w:space="0" w:color="auto"/>
              <w:bottom w:val="single" w:sz="8" w:space="0" w:color="auto"/>
              <w:right w:val="single" w:sz="8" w:space="0" w:color="auto"/>
            </w:tcBorders>
            <w:noWrap/>
            <w:vAlign w:val="bottom"/>
            <w:hideMark/>
          </w:tcPr>
          <w:p w14:paraId="2FBA7929" w14:textId="77777777" w:rsidR="00DF34D1" w:rsidRPr="007073AD" w:rsidRDefault="00DF34D1" w:rsidP="00432FAC">
            <w:pPr>
              <w:spacing w:after="0"/>
              <w:jc w:val="center"/>
              <w:rPr>
                <w:rFonts w:ascii="Aptos Narrow" w:hAnsi="Aptos Narrow"/>
                <w:noProof/>
                <w:color w:val="000000"/>
                <w:sz w:val="22"/>
                <w:szCs w:val="22"/>
                <w:lang w:eastAsia="en-IE"/>
              </w:rPr>
            </w:pPr>
            <w:r w:rsidRPr="1DF77629">
              <w:rPr>
                <w:rFonts w:ascii="Aptos Narrow" w:hAnsi="Aptos Narrow"/>
                <w:noProof/>
                <w:color w:val="000000" w:themeColor="text1"/>
                <w:sz w:val="22"/>
                <w:szCs w:val="22"/>
              </w:rPr>
              <w:t>2025</w:t>
            </w:r>
          </w:p>
        </w:tc>
        <w:tc>
          <w:tcPr>
            <w:tcW w:w="3827" w:type="dxa"/>
            <w:tcBorders>
              <w:top w:val="single" w:sz="8" w:space="0" w:color="auto"/>
              <w:left w:val="single" w:sz="8" w:space="0" w:color="auto"/>
              <w:bottom w:val="single" w:sz="8" w:space="0" w:color="auto"/>
              <w:right w:val="single" w:sz="8" w:space="0" w:color="auto"/>
            </w:tcBorders>
            <w:noWrap/>
            <w:vAlign w:val="bottom"/>
            <w:hideMark/>
          </w:tcPr>
          <w:p w14:paraId="1FC6ECD8" w14:textId="77777777" w:rsidR="00DF34D1" w:rsidRPr="007073AD" w:rsidRDefault="00DF34D1" w:rsidP="00432FAC">
            <w:pPr>
              <w:spacing w:after="0"/>
              <w:jc w:val="center"/>
              <w:rPr>
                <w:rFonts w:ascii="Aptos Narrow" w:hAnsi="Aptos Narrow"/>
                <w:noProof/>
                <w:color w:val="000000"/>
                <w:sz w:val="22"/>
                <w:szCs w:val="22"/>
                <w:lang w:eastAsia="en-IE"/>
              </w:rPr>
            </w:pPr>
            <w:r>
              <w:rPr>
                <w:rFonts w:ascii="Aptos Narrow" w:hAnsi="Aptos Narrow"/>
                <w:noProof/>
                <w:color w:val="000000"/>
                <w:sz w:val="22"/>
                <w:szCs w:val="22"/>
              </w:rPr>
              <w:t>106,254</w:t>
            </w:r>
          </w:p>
        </w:tc>
        <w:tc>
          <w:tcPr>
            <w:tcW w:w="1987" w:type="dxa"/>
            <w:tcBorders>
              <w:top w:val="single" w:sz="8" w:space="0" w:color="auto"/>
              <w:left w:val="single" w:sz="8" w:space="0" w:color="auto"/>
              <w:bottom w:val="single" w:sz="8" w:space="0" w:color="auto"/>
              <w:right w:val="single" w:sz="8" w:space="0" w:color="auto"/>
            </w:tcBorders>
          </w:tcPr>
          <w:p w14:paraId="2D78D0DE" w14:textId="77777777" w:rsidR="00DF34D1" w:rsidRPr="009C428D" w:rsidRDefault="00DF34D1" w:rsidP="00432FAC">
            <w:pPr>
              <w:spacing w:after="0"/>
              <w:jc w:val="center"/>
              <w:rPr>
                <w:rFonts w:ascii="Aptos Narrow" w:hAnsi="Aptos Narrow"/>
                <w:noProof/>
                <w:color w:val="00B050"/>
                <w:sz w:val="22"/>
                <w:szCs w:val="22"/>
              </w:rPr>
            </w:pPr>
            <w:r w:rsidRPr="009C428D">
              <w:rPr>
                <w:rFonts w:ascii="Aptos Narrow" w:hAnsi="Aptos Narrow"/>
                <w:noProof/>
                <w:color w:val="00B050"/>
                <w:sz w:val="22"/>
                <w:szCs w:val="22"/>
              </w:rPr>
              <w:t>49,457</w:t>
            </w:r>
          </w:p>
        </w:tc>
        <w:tc>
          <w:tcPr>
            <w:tcW w:w="2510" w:type="dxa"/>
            <w:tcBorders>
              <w:top w:val="single" w:sz="8" w:space="0" w:color="auto"/>
              <w:left w:val="single" w:sz="8" w:space="0" w:color="auto"/>
              <w:bottom w:val="single" w:sz="8" w:space="0" w:color="auto"/>
              <w:right w:val="single" w:sz="8" w:space="0" w:color="auto"/>
            </w:tcBorders>
          </w:tcPr>
          <w:p w14:paraId="0EF1A98C" w14:textId="77777777" w:rsidR="00DF34D1" w:rsidRPr="009C428D" w:rsidRDefault="00DF34D1" w:rsidP="00432FAC">
            <w:pPr>
              <w:spacing w:after="0"/>
              <w:jc w:val="center"/>
              <w:rPr>
                <w:rFonts w:ascii="Aptos Narrow" w:hAnsi="Aptos Narrow"/>
                <w:noProof/>
                <w:color w:val="00B050"/>
                <w:sz w:val="22"/>
                <w:szCs w:val="22"/>
              </w:rPr>
            </w:pPr>
            <w:r w:rsidRPr="009C428D">
              <w:rPr>
                <w:rFonts w:ascii="Aptos Narrow" w:hAnsi="Aptos Narrow"/>
                <w:noProof/>
                <w:color w:val="00B050"/>
                <w:sz w:val="22"/>
                <w:szCs w:val="22"/>
              </w:rPr>
              <w:t>87.08%</w:t>
            </w:r>
          </w:p>
          <w:p w14:paraId="68020B9E" w14:textId="77777777" w:rsidR="00DF34D1" w:rsidRPr="009C428D" w:rsidRDefault="00DF34D1" w:rsidP="00432FAC">
            <w:pPr>
              <w:spacing w:after="0"/>
              <w:jc w:val="center"/>
              <w:rPr>
                <w:rFonts w:ascii="Aptos Narrow" w:hAnsi="Aptos Narrow"/>
                <w:noProof/>
                <w:color w:val="00B050"/>
                <w:sz w:val="22"/>
                <w:szCs w:val="22"/>
              </w:rPr>
            </w:pPr>
            <w:r w:rsidRPr="009C428D">
              <w:rPr>
                <w:rFonts w:ascii="Aptos Narrow" w:hAnsi="Aptos Narrow"/>
                <w:noProof/>
                <w:color w:val="00B050"/>
                <w:sz w:val="22"/>
                <w:szCs w:val="22"/>
              </w:rPr>
              <w:t>(this covers 3 years)</w:t>
            </w:r>
          </w:p>
        </w:tc>
      </w:tr>
    </w:tbl>
    <w:p w14:paraId="44919EA9" w14:textId="77777777" w:rsidR="00DF34D1" w:rsidRPr="007073AD" w:rsidRDefault="00DF34D1" w:rsidP="00DF34D1">
      <w:pPr>
        <w:tabs>
          <w:tab w:val="left" w:pos="170"/>
        </w:tabs>
        <w:rPr>
          <w:noProof/>
        </w:rPr>
      </w:pPr>
    </w:p>
    <w:p w14:paraId="5AD70AE7" w14:textId="76F91562" w:rsidR="00DF34D1" w:rsidRDefault="00DF34D1" w:rsidP="00DF34D1">
      <w:pPr>
        <w:tabs>
          <w:tab w:val="left" w:pos="170"/>
        </w:tabs>
        <w:rPr>
          <w:noProof/>
        </w:rPr>
      </w:pPr>
      <w:r>
        <w:rPr>
          <w:noProof/>
        </w:rPr>
        <w:t xml:space="preserve">While the take-up of simplified legal forms in the specific Member States shows a significantly higher growth rate compared to the overall net-growth of private limited liability companies in the respective Member States, the figures also show that growth rates for these forms have been very different between MS, making them unreliable for predicting the uptake of an EU-wide harmonised legal form. In addition, the number of companies with the simplified form is included in the overall number of private limited </w:t>
      </w:r>
      <w:r w:rsidR="000B1CBB">
        <w:rPr>
          <w:noProof/>
        </w:rPr>
        <w:t xml:space="preserve">liability </w:t>
      </w:r>
      <w:r>
        <w:rPr>
          <w:noProof/>
        </w:rPr>
        <w:t xml:space="preserve">companies and in some other Member States, there are no specific simplified legal forms, but the legal form for private limited liability companies </w:t>
      </w:r>
      <w:r w:rsidR="000B1CBB">
        <w:rPr>
          <w:noProof/>
        </w:rPr>
        <w:t>has been</w:t>
      </w:r>
      <w:r>
        <w:rPr>
          <w:noProof/>
        </w:rPr>
        <w:t xml:space="preserve"> modernised (e.g. Finland). Therefore, the reference point for the estimated up-take of 28</w:t>
      </w:r>
      <w:r w:rsidRPr="32F53989">
        <w:rPr>
          <w:noProof/>
          <w:vertAlign w:val="superscript"/>
        </w:rPr>
        <w:t>th</w:t>
      </w:r>
      <w:r>
        <w:rPr>
          <w:noProof/>
        </w:rPr>
        <w:t xml:space="preserve"> regime companies is the annual net-growth of all private limited liability companies in the EU.</w:t>
      </w:r>
    </w:p>
    <w:p w14:paraId="06CA1843" w14:textId="43B7BAA1" w:rsidR="00DF34D1" w:rsidRDefault="00DF34D1" w:rsidP="00DF34D1">
      <w:pPr>
        <w:tabs>
          <w:tab w:val="left" w:pos="170"/>
        </w:tabs>
        <w:rPr>
          <w:noProof/>
        </w:rPr>
      </w:pPr>
      <w:r w:rsidRPr="00A80756">
        <w:rPr>
          <w:noProof/>
          <w:szCs w:val="20"/>
        </w:rPr>
        <w:t>Overall, the estimated number of new 28</w:t>
      </w:r>
      <w:r w:rsidRPr="00A80756">
        <w:rPr>
          <w:noProof/>
          <w:szCs w:val="20"/>
          <w:vertAlign w:val="superscript"/>
        </w:rPr>
        <w:t>th</w:t>
      </w:r>
      <w:r w:rsidRPr="00A80756">
        <w:rPr>
          <w:noProof/>
          <w:szCs w:val="20"/>
        </w:rPr>
        <w:t xml:space="preserve"> regime companies over a 10-year period is based on conservative assumptions about the annual take-up rates, taking the net growth of 668</w:t>
      </w:r>
      <w:r w:rsidR="009B6044">
        <w:rPr>
          <w:noProof/>
          <w:szCs w:val="20"/>
        </w:rPr>
        <w:t> </w:t>
      </w:r>
      <w:r w:rsidRPr="00A80756">
        <w:rPr>
          <w:noProof/>
          <w:szCs w:val="20"/>
        </w:rPr>
        <w:t xml:space="preserve">000 private LLCs created each year and applying a specific take-up rate for each year. </w:t>
      </w:r>
      <w:r>
        <w:rPr>
          <w:noProof/>
        </w:rPr>
        <w:t>The assumed take-up rate</w:t>
      </w:r>
      <w:r w:rsidR="002F3688">
        <w:rPr>
          <w:noProof/>
        </w:rPr>
        <w:t>s</w:t>
      </w:r>
      <w:r>
        <w:rPr>
          <w:noProof/>
        </w:rPr>
        <w:t xml:space="preserve"> reflect the optional nature of the 28</w:t>
      </w:r>
      <w:r w:rsidRPr="009B6044">
        <w:rPr>
          <w:noProof/>
          <w:vertAlign w:val="superscript"/>
        </w:rPr>
        <w:t>th</w:t>
      </w:r>
      <w:r>
        <w:rPr>
          <w:noProof/>
        </w:rPr>
        <w:t xml:space="preserve"> regime and gradual adoption over time as awareness about this new legal form increases and the benefits of a common corporate legal framework become more widely recognised. Lower initial uptake is assumed in the early years due to learning effects and path dependency, followed by a progressive increase as legal certainty improves and the regime is expected to gain credibility among founders, investors and intermediaries.</w:t>
      </w:r>
    </w:p>
    <w:p w14:paraId="090B912B" w14:textId="77777777" w:rsidR="00C56F55" w:rsidRDefault="00C56F55" w:rsidP="00C56F55">
      <w:pPr>
        <w:tabs>
          <w:tab w:val="left" w:pos="170"/>
        </w:tabs>
        <w:rPr>
          <w:noProof/>
        </w:rPr>
      </w:pPr>
      <w:r>
        <w:rPr>
          <w:noProof/>
        </w:rPr>
        <w:t>The following take-up rates refer to the share of new 28</w:t>
      </w:r>
      <w:r w:rsidRPr="00CF3FEA">
        <w:rPr>
          <w:noProof/>
          <w:vertAlign w:val="superscript"/>
        </w:rPr>
        <w:t>th</w:t>
      </w:r>
      <w:r>
        <w:rPr>
          <w:noProof/>
        </w:rPr>
        <w:t xml:space="preserve"> regime companies out of the newly created LLCs. This average annual net increase is used as a simplifying assumption for the purpose of estimating potential uptake, in line with the proportionality principle and in the absence of evidence suggesting a structural break in company formation trends over the assessment horizon. </w:t>
      </w:r>
    </w:p>
    <w:tbl>
      <w:tblPr>
        <w:tblW w:w="0" w:type="auto"/>
        <w:jc w:val="center"/>
        <w:tblLook w:val="04A0" w:firstRow="1" w:lastRow="0" w:firstColumn="1" w:lastColumn="0" w:noHBand="0" w:noVBand="1"/>
      </w:tblPr>
      <w:tblGrid>
        <w:gridCol w:w="723"/>
        <w:gridCol w:w="1108"/>
        <w:gridCol w:w="1415"/>
        <w:gridCol w:w="1142"/>
        <w:gridCol w:w="1469"/>
        <w:gridCol w:w="1502"/>
        <w:gridCol w:w="1474"/>
      </w:tblGrid>
      <w:tr w:rsidR="00DF34D1" w:rsidRPr="009C57DC" w14:paraId="2D3F0B8E" w14:textId="48936388" w:rsidTr="00A8243F">
        <w:trPr>
          <w:trHeight w:val="843"/>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3C4BA62" w14:textId="77777777" w:rsidR="00DF34D1" w:rsidRPr="007073AD" w:rsidRDefault="00DF34D1" w:rsidP="00432FAC">
            <w:pPr>
              <w:spacing w:after="0"/>
              <w:jc w:val="center"/>
              <w:rPr>
                <w:rFonts w:eastAsia="Times New Roman"/>
                <w:b/>
                <w:noProof/>
                <w:color w:val="000000"/>
                <w:lang w:eastAsia="en-IE"/>
              </w:rPr>
            </w:pPr>
            <w:r w:rsidRPr="007073AD">
              <w:rPr>
                <w:rFonts w:eastAsia="Times New Roman"/>
                <w:b/>
                <w:noProof/>
                <w:color w:val="000000"/>
                <w:lang w:eastAsia="en-IE"/>
              </w:rPr>
              <w:t>Year</w:t>
            </w:r>
          </w:p>
        </w:tc>
        <w:tc>
          <w:tcPr>
            <w:tcW w:w="0" w:type="auto"/>
            <w:tcBorders>
              <w:top w:val="single" w:sz="4" w:space="0" w:color="auto"/>
              <w:left w:val="single" w:sz="4" w:space="0" w:color="auto"/>
              <w:bottom w:val="single" w:sz="4" w:space="0" w:color="auto"/>
              <w:right w:val="single" w:sz="4" w:space="0" w:color="auto"/>
            </w:tcBorders>
          </w:tcPr>
          <w:p w14:paraId="77EAD8C7" w14:textId="3D01C428" w:rsidR="000258FB" w:rsidRPr="007073AD" w:rsidRDefault="000258FB" w:rsidP="000258FB">
            <w:pPr>
              <w:spacing w:after="0"/>
              <w:jc w:val="center"/>
              <w:rPr>
                <w:rFonts w:eastAsia="Times New Roman"/>
                <w:b/>
                <w:noProof/>
                <w:color w:val="000000"/>
                <w:lang w:eastAsia="en-IE"/>
              </w:rPr>
            </w:pPr>
            <w:r w:rsidRPr="007073AD">
              <w:rPr>
                <w:rFonts w:eastAsia="Times New Roman"/>
                <w:b/>
                <w:noProof/>
                <w:color w:val="000000"/>
                <w:lang w:eastAsia="en-IE"/>
              </w:rPr>
              <w:t>Low take-up rate 28</w:t>
            </w:r>
            <w:r w:rsidRPr="007073AD">
              <w:rPr>
                <w:rFonts w:eastAsia="Times New Roman"/>
                <w:b/>
                <w:noProof/>
                <w:color w:val="000000"/>
                <w:vertAlign w:val="superscript"/>
                <w:lang w:eastAsia="en-IE"/>
              </w:rPr>
              <w:t>th</w:t>
            </w:r>
            <w:r w:rsidRPr="007073AD">
              <w:rPr>
                <w:rFonts w:eastAsia="Times New Roman"/>
                <w:b/>
                <w:noProof/>
                <w:color w:val="000000"/>
                <w:lang w:eastAsia="en-IE"/>
              </w:rPr>
              <w:t xml:space="preserve"> regime legal form</w:t>
            </w:r>
          </w:p>
        </w:tc>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6D2F0855" w14:textId="5CD916F2" w:rsidR="00DF34D1" w:rsidRPr="007073AD" w:rsidRDefault="000258FB" w:rsidP="00432FAC">
            <w:pPr>
              <w:spacing w:after="0"/>
              <w:jc w:val="center"/>
              <w:rPr>
                <w:rFonts w:eastAsia="Times New Roman"/>
                <w:b/>
                <w:noProof/>
                <w:color w:val="000000"/>
                <w:lang w:eastAsia="en-IE"/>
              </w:rPr>
            </w:pPr>
            <w:r w:rsidRPr="007073AD">
              <w:rPr>
                <w:rFonts w:eastAsia="Times New Roman"/>
                <w:b/>
                <w:noProof/>
                <w:color w:val="000000"/>
                <w:lang w:eastAsia="en-IE"/>
              </w:rPr>
              <w:t>Moderate take-up rate 28</w:t>
            </w:r>
            <w:r w:rsidRPr="007073AD">
              <w:rPr>
                <w:rFonts w:eastAsia="Times New Roman"/>
                <w:b/>
                <w:noProof/>
                <w:color w:val="000000"/>
                <w:vertAlign w:val="superscript"/>
                <w:lang w:eastAsia="en-IE"/>
              </w:rPr>
              <w:t>th</w:t>
            </w:r>
            <w:r w:rsidRPr="007073AD">
              <w:rPr>
                <w:rFonts w:eastAsia="Times New Roman"/>
                <w:b/>
                <w:noProof/>
                <w:color w:val="000000"/>
                <w:lang w:eastAsia="en-IE"/>
              </w:rPr>
              <w:t xml:space="preserve"> regime legal form </w:t>
            </w:r>
          </w:p>
        </w:tc>
        <w:tc>
          <w:tcPr>
            <w:tcW w:w="0" w:type="auto"/>
            <w:tcBorders>
              <w:top w:val="single" w:sz="4" w:space="0" w:color="auto"/>
              <w:left w:val="single" w:sz="4" w:space="0" w:color="auto"/>
              <w:bottom w:val="single" w:sz="4" w:space="0" w:color="auto"/>
              <w:right w:val="single" w:sz="4" w:space="0" w:color="auto"/>
            </w:tcBorders>
          </w:tcPr>
          <w:p w14:paraId="3735F816" w14:textId="59D3B249" w:rsidR="000258FB" w:rsidRPr="007073AD" w:rsidRDefault="000258FB" w:rsidP="000258FB">
            <w:pPr>
              <w:spacing w:after="0"/>
              <w:jc w:val="center"/>
              <w:rPr>
                <w:rFonts w:eastAsia="Times New Roman"/>
                <w:b/>
                <w:noProof/>
                <w:color w:val="000000"/>
                <w:lang w:eastAsia="en-IE"/>
              </w:rPr>
            </w:pPr>
            <w:r w:rsidRPr="007073AD">
              <w:rPr>
                <w:rFonts w:eastAsia="Times New Roman"/>
                <w:b/>
                <w:noProof/>
                <w:color w:val="000000"/>
                <w:lang w:eastAsia="en-IE"/>
              </w:rPr>
              <w:t>High take-up rate 28</w:t>
            </w:r>
            <w:r w:rsidRPr="007073AD">
              <w:rPr>
                <w:rFonts w:eastAsia="Times New Roman"/>
                <w:b/>
                <w:noProof/>
                <w:color w:val="000000"/>
                <w:vertAlign w:val="superscript"/>
                <w:lang w:eastAsia="en-IE"/>
              </w:rPr>
              <w:t>th</w:t>
            </w:r>
            <w:r w:rsidRPr="007073AD">
              <w:rPr>
                <w:rFonts w:eastAsia="Times New Roman"/>
                <w:b/>
                <w:noProof/>
                <w:color w:val="000000"/>
                <w:lang w:eastAsia="en-IE"/>
              </w:rPr>
              <w:t xml:space="preserve"> regime legal form</w:t>
            </w:r>
          </w:p>
        </w:tc>
        <w:tc>
          <w:tcPr>
            <w:tcW w:w="0" w:type="auto"/>
            <w:tcBorders>
              <w:top w:val="single" w:sz="4" w:space="0" w:color="auto"/>
              <w:left w:val="single" w:sz="4" w:space="0" w:color="auto"/>
              <w:bottom w:val="single" w:sz="4" w:space="0" w:color="auto"/>
              <w:right w:val="single" w:sz="4" w:space="0" w:color="auto"/>
            </w:tcBorders>
          </w:tcPr>
          <w:p w14:paraId="62B0CE0F" w14:textId="4A738AAC" w:rsidR="000258FB" w:rsidRPr="007073AD" w:rsidRDefault="000258FB" w:rsidP="000258FB">
            <w:pPr>
              <w:spacing w:after="0"/>
              <w:jc w:val="center"/>
              <w:rPr>
                <w:rFonts w:eastAsia="Times New Roman"/>
                <w:b/>
                <w:noProof/>
                <w:color w:val="000000"/>
                <w:lang w:eastAsia="en-IE"/>
              </w:rPr>
            </w:pPr>
            <w:r w:rsidRPr="007073AD">
              <w:rPr>
                <w:rFonts w:eastAsia="Times New Roman"/>
                <w:b/>
                <w:noProof/>
                <w:color w:val="000000"/>
                <w:lang w:eastAsia="en-IE"/>
              </w:rPr>
              <w:t>New 28</w:t>
            </w:r>
            <w:r w:rsidRPr="007073AD">
              <w:rPr>
                <w:rFonts w:eastAsia="Times New Roman"/>
                <w:b/>
                <w:noProof/>
                <w:color w:val="000000"/>
                <w:vertAlign w:val="superscript"/>
                <w:lang w:eastAsia="en-IE"/>
              </w:rPr>
              <w:t>th</w:t>
            </w:r>
            <w:r w:rsidRPr="007073AD">
              <w:rPr>
                <w:rFonts w:eastAsia="Times New Roman"/>
                <w:b/>
                <w:noProof/>
                <w:color w:val="000000"/>
                <w:lang w:eastAsia="en-IE"/>
              </w:rPr>
              <w:t xml:space="preserve"> regime companies (low take-up)</w:t>
            </w:r>
          </w:p>
        </w:tc>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405F90B3" w14:textId="6DFDA0AB" w:rsidR="00DF34D1" w:rsidRPr="007073AD" w:rsidRDefault="00DF34D1" w:rsidP="00432FAC">
            <w:pPr>
              <w:spacing w:after="0"/>
              <w:jc w:val="center"/>
              <w:rPr>
                <w:rFonts w:eastAsia="Times New Roman"/>
                <w:b/>
                <w:noProof/>
                <w:color w:val="000000"/>
                <w:lang w:eastAsia="en-IE"/>
              </w:rPr>
            </w:pPr>
            <w:r w:rsidRPr="007073AD">
              <w:rPr>
                <w:rFonts w:eastAsia="Times New Roman"/>
                <w:b/>
                <w:noProof/>
                <w:color w:val="000000"/>
                <w:lang w:eastAsia="en-IE"/>
              </w:rPr>
              <w:t>New 28</w:t>
            </w:r>
            <w:r w:rsidRPr="007073AD">
              <w:rPr>
                <w:rFonts w:eastAsia="Times New Roman"/>
                <w:b/>
                <w:noProof/>
                <w:color w:val="000000"/>
                <w:vertAlign w:val="superscript"/>
                <w:lang w:eastAsia="en-IE"/>
              </w:rPr>
              <w:t>th</w:t>
            </w:r>
            <w:r w:rsidRPr="007073AD">
              <w:rPr>
                <w:rFonts w:eastAsia="Times New Roman"/>
                <w:b/>
                <w:noProof/>
                <w:color w:val="000000"/>
                <w:lang w:eastAsia="en-IE"/>
              </w:rPr>
              <w:t xml:space="preserve"> regime companies</w:t>
            </w:r>
            <w:r w:rsidR="000258FB" w:rsidRPr="007073AD">
              <w:rPr>
                <w:rFonts w:eastAsia="Times New Roman"/>
                <w:b/>
                <w:noProof/>
                <w:color w:val="000000"/>
                <w:lang w:eastAsia="en-IE"/>
              </w:rPr>
              <w:t xml:space="preserve"> (moderate take-up)</w:t>
            </w:r>
          </w:p>
        </w:tc>
        <w:tc>
          <w:tcPr>
            <w:tcW w:w="0" w:type="auto"/>
            <w:tcBorders>
              <w:top w:val="single" w:sz="4" w:space="0" w:color="auto"/>
              <w:left w:val="single" w:sz="4" w:space="0" w:color="auto"/>
              <w:bottom w:val="single" w:sz="4" w:space="0" w:color="auto"/>
              <w:right w:val="single" w:sz="4" w:space="0" w:color="auto"/>
            </w:tcBorders>
          </w:tcPr>
          <w:p w14:paraId="3D108E96" w14:textId="17C27244" w:rsidR="000258FB" w:rsidRPr="007073AD" w:rsidRDefault="000258FB" w:rsidP="000258FB">
            <w:pPr>
              <w:spacing w:after="0"/>
              <w:jc w:val="center"/>
              <w:rPr>
                <w:rFonts w:eastAsia="Times New Roman"/>
                <w:b/>
                <w:noProof/>
                <w:color w:val="000000"/>
                <w:lang w:eastAsia="en-IE"/>
              </w:rPr>
            </w:pPr>
            <w:r w:rsidRPr="007073AD">
              <w:rPr>
                <w:rFonts w:eastAsia="Times New Roman"/>
                <w:b/>
                <w:noProof/>
                <w:color w:val="000000"/>
                <w:lang w:eastAsia="en-IE"/>
              </w:rPr>
              <w:t>New 28</w:t>
            </w:r>
            <w:r w:rsidRPr="007073AD">
              <w:rPr>
                <w:rFonts w:eastAsia="Times New Roman"/>
                <w:b/>
                <w:noProof/>
                <w:color w:val="000000"/>
                <w:vertAlign w:val="superscript"/>
                <w:lang w:eastAsia="en-IE"/>
              </w:rPr>
              <w:t>th</w:t>
            </w:r>
            <w:r w:rsidRPr="007073AD">
              <w:rPr>
                <w:rFonts w:eastAsia="Times New Roman"/>
                <w:b/>
                <w:noProof/>
                <w:color w:val="000000"/>
                <w:lang w:eastAsia="en-IE"/>
              </w:rPr>
              <w:t xml:space="preserve"> regime companies (high take-up)</w:t>
            </w:r>
          </w:p>
        </w:tc>
      </w:tr>
      <w:tr w:rsidR="00DF34D1" w:rsidRPr="009C57DC" w14:paraId="5662F643" w14:textId="445574EC" w:rsidTr="00A8243F">
        <w:trPr>
          <w:trHeight w:val="300"/>
          <w:jc w:val="center"/>
        </w:trPr>
        <w:tc>
          <w:tcPr>
            <w:tcW w:w="0" w:type="auto"/>
            <w:tcBorders>
              <w:top w:val="single" w:sz="4" w:space="0" w:color="auto"/>
              <w:left w:val="single" w:sz="8" w:space="0" w:color="auto"/>
              <w:bottom w:val="single" w:sz="8" w:space="0" w:color="auto"/>
              <w:right w:val="single" w:sz="8" w:space="0" w:color="auto"/>
            </w:tcBorders>
            <w:vAlign w:val="center"/>
            <w:hideMark/>
          </w:tcPr>
          <w:p w14:paraId="66AB08F8"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w:t>
            </w:r>
          </w:p>
        </w:tc>
        <w:tc>
          <w:tcPr>
            <w:tcW w:w="0" w:type="auto"/>
            <w:tcBorders>
              <w:top w:val="single" w:sz="4" w:space="0" w:color="auto"/>
              <w:left w:val="single" w:sz="4" w:space="0" w:color="auto"/>
              <w:bottom w:val="single" w:sz="4" w:space="0" w:color="auto"/>
              <w:right w:val="single" w:sz="4" w:space="0" w:color="auto"/>
            </w:tcBorders>
            <w:vAlign w:val="center"/>
          </w:tcPr>
          <w:p w14:paraId="2C123849" w14:textId="56A3209C" w:rsidR="00F92BBC" w:rsidRPr="00302264" w:rsidRDefault="00F92BBC" w:rsidP="00F92BBC">
            <w:pPr>
              <w:spacing w:after="0"/>
              <w:jc w:val="center"/>
              <w:rPr>
                <w:noProof/>
                <w:color w:val="000000"/>
              </w:rPr>
            </w:pPr>
            <w:r w:rsidRPr="00302264">
              <w:rPr>
                <w:noProof/>
                <w:color w:val="000000"/>
              </w:rPr>
              <w:t>0.19%</w:t>
            </w:r>
          </w:p>
        </w:tc>
        <w:tc>
          <w:tcPr>
            <w:tcW w:w="0" w:type="auto"/>
            <w:tcBorders>
              <w:top w:val="single" w:sz="4" w:space="0" w:color="auto"/>
              <w:left w:val="nil"/>
              <w:bottom w:val="single" w:sz="8" w:space="0" w:color="auto"/>
              <w:right w:val="single" w:sz="8" w:space="0" w:color="auto"/>
            </w:tcBorders>
            <w:shd w:val="clear" w:color="auto" w:fill="FFFF00"/>
            <w:vAlign w:val="center"/>
            <w:hideMark/>
          </w:tcPr>
          <w:p w14:paraId="4A840FC0"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0.25%</w:t>
            </w:r>
          </w:p>
        </w:tc>
        <w:tc>
          <w:tcPr>
            <w:tcW w:w="0" w:type="auto"/>
            <w:tcBorders>
              <w:top w:val="single" w:sz="4" w:space="0" w:color="auto"/>
              <w:left w:val="single" w:sz="4" w:space="0" w:color="auto"/>
              <w:bottom w:val="single" w:sz="4" w:space="0" w:color="auto"/>
              <w:right w:val="single" w:sz="4" w:space="0" w:color="auto"/>
            </w:tcBorders>
            <w:vAlign w:val="center"/>
          </w:tcPr>
          <w:p w14:paraId="7636B1D3" w14:textId="5C07D323" w:rsidR="00F92BBC" w:rsidRPr="00302264" w:rsidRDefault="00F92BBC" w:rsidP="00F92BBC">
            <w:pPr>
              <w:spacing w:after="0"/>
              <w:jc w:val="center"/>
              <w:rPr>
                <w:noProof/>
                <w:color w:val="000000"/>
              </w:rPr>
            </w:pPr>
            <w:r w:rsidRPr="00302264">
              <w:rPr>
                <w:noProof/>
                <w:color w:val="000000"/>
              </w:rPr>
              <w:t>0.31%</w:t>
            </w:r>
          </w:p>
        </w:tc>
        <w:tc>
          <w:tcPr>
            <w:tcW w:w="0" w:type="auto"/>
            <w:tcBorders>
              <w:top w:val="single" w:sz="4" w:space="0" w:color="auto"/>
              <w:left w:val="nil"/>
              <w:bottom w:val="single" w:sz="4" w:space="0" w:color="auto"/>
              <w:right w:val="single" w:sz="4" w:space="0" w:color="auto"/>
            </w:tcBorders>
            <w:vAlign w:val="bottom"/>
          </w:tcPr>
          <w:p w14:paraId="477F2D85" w14:textId="333BC7B9" w:rsidR="00F92BBC" w:rsidRPr="00302264" w:rsidRDefault="00F92BBC" w:rsidP="00F92BBC">
            <w:pPr>
              <w:spacing w:after="0"/>
              <w:jc w:val="center"/>
              <w:rPr>
                <w:noProof/>
                <w:color w:val="000000"/>
              </w:rPr>
            </w:pPr>
            <w:r w:rsidRPr="00302264">
              <w:rPr>
                <w:noProof/>
                <w:color w:val="000000"/>
              </w:rPr>
              <w:t>1,252</w:t>
            </w:r>
          </w:p>
        </w:tc>
        <w:tc>
          <w:tcPr>
            <w:tcW w:w="0" w:type="auto"/>
            <w:tcBorders>
              <w:top w:val="single" w:sz="4" w:space="0" w:color="auto"/>
              <w:left w:val="nil"/>
              <w:bottom w:val="single" w:sz="8" w:space="0" w:color="auto"/>
              <w:right w:val="single" w:sz="8" w:space="0" w:color="auto"/>
            </w:tcBorders>
            <w:shd w:val="clear" w:color="auto" w:fill="FFFF00"/>
            <w:noWrap/>
            <w:vAlign w:val="center"/>
            <w:hideMark/>
          </w:tcPr>
          <w:p w14:paraId="475D03AE"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1,669</w:t>
            </w:r>
          </w:p>
        </w:tc>
        <w:tc>
          <w:tcPr>
            <w:tcW w:w="0" w:type="auto"/>
            <w:tcBorders>
              <w:top w:val="single" w:sz="4" w:space="0" w:color="auto"/>
              <w:left w:val="single" w:sz="4" w:space="0" w:color="auto"/>
              <w:bottom w:val="single" w:sz="4" w:space="0" w:color="auto"/>
              <w:right w:val="single" w:sz="4" w:space="0" w:color="auto"/>
            </w:tcBorders>
            <w:vAlign w:val="bottom"/>
          </w:tcPr>
          <w:p w14:paraId="7F58036C" w14:textId="2CD3DBE4" w:rsidR="00F92BBC" w:rsidRPr="00302264" w:rsidRDefault="00F92BBC" w:rsidP="00F92BBC">
            <w:pPr>
              <w:spacing w:after="0"/>
              <w:jc w:val="center"/>
              <w:rPr>
                <w:noProof/>
                <w:color w:val="000000"/>
              </w:rPr>
            </w:pPr>
            <w:r w:rsidRPr="00302264">
              <w:rPr>
                <w:noProof/>
                <w:color w:val="000000"/>
              </w:rPr>
              <w:t>2,087</w:t>
            </w:r>
          </w:p>
        </w:tc>
      </w:tr>
      <w:tr w:rsidR="00DF34D1" w:rsidRPr="009C57DC" w14:paraId="7A510C6A" w14:textId="6EF8D7A1" w:rsidTr="00A8243F">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2D8E5031"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2</w:t>
            </w:r>
          </w:p>
        </w:tc>
        <w:tc>
          <w:tcPr>
            <w:tcW w:w="0" w:type="auto"/>
            <w:tcBorders>
              <w:top w:val="nil"/>
              <w:left w:val="single" w:sz="4" w:space="0" w:color="auto"/>
              <w:bottom w:val="single" w:sz="4" w:space="0" w:color="auto"/>
              <w:right w:val="single" w:sz="4" w:space="0" w:color="auto"/>
            </w:tcBorders>
            <w:vAlign w:val="center"/>
          </w:tcPr>
          <w:p w14:paraId="55EA27BF" w14:textId="4B26D989" w:rsidR="00F92BBC" w:rsidRPr="00302264" w:rsidRDefault="00F92BBC" w:rsidP="00F92BBC">
            <w:pPr>
              <w:spacing w:after="0"/>
              <w:jc w:val="center"/>
              <w:rPr>
                <w:noProof/>
                <w:color w:val="000000"/>
              </w:rPr>
            </w:pPr>
            <w:r w:rsidRPr="00302264">
              <w:rPr>
                <w:noProof/>
                <w:color w:val="000000"/>
              </w:rPr>
              <w:t>0.75%</w:t>
            </w:r>
          </w:p>
        </w:tc>
        <w:tc>
          <w:tcPr>
            <w:tcW w:w="0" w:type="auto"/>
            <w:tcBorders>
              <w:top w:val="nil"/>
              <w:left w:val="nil"/>
              <w:bottom w:val="single" w:sz="8" w:space="0" w:color="auto"/>
              <w:right w:val="single" w:sz="8" w:space="0" w:color="auto"/>
            </w:tcBorders>
            <w:shd w:val="clear" w:color="auto" w:fill="FFFF00"/>
            <w:vAlign w:val="center"/>
            <w:hideMark/>
          </w:tcPr>
          <w:p w14:paraId="47A73833"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1.00%</w:t>
            </w:r>
          </w:p>
        </w:tc>
        <w:tc>
          <w:tcPr>
            <w:tcW w:w="0" w:type="auto"/>
            <w:tcBorders>
              <w:top w:val="nil"/>
              <w:left w:val="single" w:sz="4" w:space="0" w:color="auto"/>
              <w:bottom w:val="single" w:sz="4" w:space="0" w:color="auto"/>
              <w:right w:val="single" w:sz="4" w:space="0" w:color="auto"/>
            </w:tcBorders>
            <w:vAlign w:val="center"/>
          </w:tcPr>
          <w:p w14:paraId="3225B389" w14:textId="1769CE2A" w:rsidR="00F92BBC" w:rsidRPr="00302264" w:rsidRDefault="00F92BBC" w:rsidP="00F92BBC">
            <w:pPr>
              <w:spacing w:after="0"/>
              <w:jc w:val="center"/>
              <w:rPr>
                <w:noProof/>
                <w:color w:val="000000"/>
              </w:rPr>
            </w:pPr>
            <w:r w:rsidRPr="00302264">
              <w:rPr>
                <w:noProof/>
                <w:color w:val="000000"/>
              </w:rPr>
              <w:t>1.25%</w:t>
            </w:r>
          </w:p>
        </w:tc>
        <w:tc>
          <w:tcPr>
            <w:tcW w:w="0" w:type="auto"/>
            <w:tcBorders>
              <w:top w:val="nil"/>
              <w:left w:val="nil"/>
              <w:bottom w:val="single" w:sz="4" w:space="0" w:color="auto"/>
              <w:right w:val="single" w:sz="4" w:space="0" w:color="auto"/>
            </w:tcBorders>
            <w:vAlign w:val="bottom"/>
          </w:tcPr>
          <w:p w14:paraId="01A6C15A" w14:textId="5116DF73" w:rsidR="00F92BBC" w:rsidRPr="00302264" w:rsidRDefault="00F92BBC" w:rsidP="00F92BBC">
            <w:pPr>
              <w:spacing w:after="0"/>
              <w:jc w:val="center"/>
              <w:rPr>
                <w:noProof/>
                <w:color w:val="000000"/>
              </w:rPr>
            </w:pPr>
            <w:r w:rsidRPr="00302264">
              <w:rPr>
                <w:noProof/>
                <w:color w:val="000000"/>
              </w:rPr>
              <w:t>5,008</w:t>
            </w:r>
          </w:p>
        </w:tc>
        <w:tc>
          <w:tcPr>
            <w:tcW w:w="0" w:type="auto"/>
            <w:tcBorders>
              <w:top w:val="nil"/>
              <w:left w:val="nil"/>
              <w:bottom w:val="single" w:sz="8" w:space="0" w:color="auto"/>
              <w:right w:val="single" w:sz="8" w:space="0" w:color="auto"/>
            </w:tcBorders>
            <w:shd w:val="clear" w:color="auto" w:fill="FFFF00"/>
            <w:noWrap/>
            <w:vAlign w:val="center"/>
            <w:hideMark/>
          </w:tcPr>
          <w:p w14:paraId="7523D28B"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6,678</w:t>
            </w:r>
          </w:p>
        </w:tc>
        <w:tc>
          <w:tcPr>
            <w:tcW w:w="0" w:type="auto"/>
            <w:tcBorders>
              <w:top w:val="nil"/>
              <w:left w:val="single" w:sz="4" w:space="0" w:color="auto"/>
              <w:bottom w:val="single" w:sz="4" w:space="0" w:color="auto"/>
              <w:right w:val="single" w:sz="4" w:space="0" w:color="auto"/>
            </w:tcBorders>
            <w:vAlign w:val="bottom"/>
          </w:tcPr>
          <w:p w14:paraId="058B729B" w14:textId="56A78EB9" w:rsidR="00F92BBC" w:rsidRPr="00302264" w:rsidRDefault="00F92BBC" w:rsidP="00F92BBC">
            <w:pPr>
              <w:spacing w:after="0"/>
              <w:jc w:val="center"/>
              <w:rPr>
                <w:noProof/>
                <w:color w:val="000000"/>
              </w:rPr>
            </w:pPr>
            <w:r w:rsidRPr="00302264">
              <w:rPr>
                <w:noProof/>
                <w:color w:val="000000"/>
              </w:rPr>
              <w:t>8,347</w:t>
            </w:r>
          </w:p>
        </w:tc>
      </w:tr>
      <w:tr w:rsidR="00DF34D1" w:rsidRPr="009C57DC" w14:paraId="380DD7E5" w14:textId="49DF1161" w:rsidTr="00A8243F">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12562A55"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3</w:t>
            </w:r>
          </w:p>
        </w:tc>
        <w:tc>
          <w:tcPr>
            <w:tcW w:w="0" w:type="auto"/>
            <w:tcBorders>
              <w:top w:val="nil"/>
              <w:left w:val="single" w:sz="4" w:space="0" w:color="auto"/>
              <w:bottom w:val="single" w:sz="4" w:space="0" w:color="auto"/>
              <w:right w:val="single" w:sz="4" w:space="0" w:color="auto"/>
            </w:tcBorders>
            <w:vAlign w:val="center"/>
          </w:tcPr>
          <w:p w14:paraId="7EF3F639" w14:textId="2C7446F2" w:rsidR="00F92BBC" w:rsidRPr="00302264" w:rsidRDefault="00F92BBC" w:rsidP="00F92BBC">
            <w:pPr>
              <w:spacing w:after="0"/>
              <w:jc w:val="center"/>
              <w:rPr>
                <w:noProof/>
                <w:color w:val="000000"/>
              </w:rPr>
            </w:pPr>
            <w:r w:rsidRPr="00302264">
              <w:rPr>
                <w:noProof/>
                <w:color w:val="000000"/>
              </w:rPr>
              <w:t>1.50%</w:t>
            </w:r>
          </w:p>
        </w:tc>
        <w:tc>
          <w:tcPr>
            <w:tcW w:w="0" w:type="auto"/>
            <w:tcBorders>
              <w:top w:val="nil"/>
              <w:left w:val="nil"/>
              <w:bottom w:val="single" w:sz="8" w:space="0" w:color="auto"/>
              <w:right w:val="single" w:sz="8" w:space="0" w:color="auto"/>
            </w:tcBorders>
            <w:shd w:val="clear" w:color="auto" w:fill="FFFF00"/>
            <w:vAlign w:val="center"/>
            <w:hideMark/>
          </w:tcPr>
          <w:p w14:paraId="0EA2C10B"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2.00%</w:t>
            </w:r>
          </w:p>
        </w:tc>
        <w:tc>
          <w:tcPr>
            <w:tcW w:w="0" w:type="auto"/>
            <w:tcBorders>
              <w:top w:val="nil"/>
              <w:left w:val="single" w:sz="4" w:space="0" w:color="auto"/>
              <w:bottom w:val="single" w:sz="4" w:space="0" w:color="auto"/>
              <w:right w:val="single" w:sz="4" w:space="0" w:color="auto"/>
            </w:tcBorders>
            <w:vAlign w:val="center"/>
          </w:tcPr>
          <w:p w14:paraId="1008E540" w14:textId="75870F79" w:rsidR="00F92BBC" w:rsidRPr="00302264" w:rsidRDefault="00F92BBC" w:rsidP="00F92BBC">
            <w:pPr>
              <w:spacing w:after="0"/>
              <w:jc w:val="center"/>
              <w:rPr>
                <w:noProof/>
                <w:color w:val="000000"/>
              </w:rPr>
            </w:pPr>
            <w:r w:rsidRPr="00302264">
              <w:rPr>
                <w:noProof/>
                <w:color w:val="000000"/>
              </w:rPr>
              <w:t>2.50%</w:t>
            </w:r>
          </w:p>
        </w:tc>
        <w:tc>
          <w:tcPr>
            <w:tcW w:w="0" w:type="auto"/>
            <w:tcBorders>
              <w:top w:val="nil"/>
              <w:left w:val="nil"/>
              <w:bottom w:val="single" w:sz="4" w:space="0" w:color="auto"/>
              <w:right w:val="single" w:sz="4" w:space="0" w:color="auto"/>
            </w:tcBorders>
            <w:vAlign w:val="bottom"/>
          </w:tcPr>
          <w:p w14:paraId="11F340D8" w14:textId="596986D9" w:rsidR="00F92BBC" w:rsidRPr="00302264" w:rsidRDefault="00F92BBC" w:rsidP="00F92BBC">
            <w:pPr>
              <w:spacing w:after="0"/>
              <w:jc w:val="center"/>
              <w:rPr>
                <w:noProof/>
                <w:color w:val="000000"/>
              </w:rPr>
            </w:pPr>
            <w:r w:rsidRPr="00302264">
              <w:rPr>
                <w:noProof/>
                <w:color w:val="000000"/>
              </w:rPr>
              <w:t>10,017</w:t>
            </w:r>
          </w:p>
        </w:tc>
        <w:tc>
          <w:tcPr>
            <w:tcW w:w="0" w:type="auto"/>
            <w:tcBorders>
              <w:top w:val="nil"/>
              <w:left w:val="nil"/>
              <w:bottom w:val="single" w:sz="8" w:space="0" w:color="auto"/>
              <w:right w:val="single" w:sz="8" w:space="0" w:color="auto"/>
            </w:tcBorders>
            <w:shd w:val="clear" w:color="auto" w:fill="FFFF00"/>
            <w:noWrap/>
            <w:vAlign w:val="center"/>
            <w:hideMark/>
          </w:tcPr>
          <w:p w14:paraId="14D48563"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13,355</w:t>
            </w:r>
          </w:p>
        </w:tc>
        <w:tc>
          <w:tcPr>
            <w:tcW w:w="0" w:type="auto"/>
            <w:tcBorders>
              <w:top w:val="nil"/>
              <w:left w:val="single" w:sz="4" w:space="0" w:color="auto"/>
              <w:bottom w:val="single" w:sz="4" w:space="0" w:color="auto"/>
              <w:right w:val="single" w:sz="4" w:space="0" w:color="auto"/>
            </w:tcBorders>
            <w:vAlign w:val="bottom"/>
          </w:tcPr>
          <w:p w14:paraId="2EE19A1A" w14:textId="751B2153" w:rsidR="00F92BBC" w:rsidRPr="00302264" w:rsidRDefault="00F92BBC" w:rsidP="00F92BBC">
            <w:pPr>
              <w:spacing w:after="0"/>
              <w:jc w:val="center"/>
              <w:rPr>
                <w:noProof/>
                <w:color w:val="000000"/>
              </w:rPr>
            </w:pPr>
            <w:r w:rsidRPr="00302264">
              <w:rPr>
                <w:noProof/>
                <w:color w:val="000000"/>
              </w:rPr>
              <w:t>16,694</w:t>
            </w:r>
          </w:p>
        </w:tc>
      </w:tr>
      <w:tr w:rsidR="00DF34D1" w:rsidRPr="009C57DC" w14:paraId="33CA8168" w14:textId="53B0BD2F" w:rsidTr="00A8243F">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06203720"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4</w:t>
            </w:r>
          </w:p>
        </w:tc>
        <w:tc>
          <w:tcPr>
            <w:tcW w:w="0" w:type="auto"/>
            <w:tcBorders>
              <w:top w:val="nil"/>
              <w:left w:val="single" w:sz="4" w:space="0" w:color="auto"/>
              <w:bottom w:val="single" w:sz="4" w:space="0" w:color="auto"/>
              <w:right w:val="single" w:sz="4" w:space="0" w:color="auto"/>
            </w:tcBorders>
            <w:vAlign w:val="center"/>
          </w:tcPr>
          <w:p w14:paraId="72B16FD9" w14:textId="03D27428" w:rsidR="00F92BBC" w:rsidRPr="00302264" w:rsidRDefault="00F92BBC" w:rsidP="00F92BBC">
            <w:pPr>
              <w:spacing w:after="0"/>
              <w:jc w:val="center"/>
              <w:rPr>
                <w:noProof/>
                <w:color w:val="000000"/>
              </w:rPr>
            </w:pPr>
            <w:r w:rsidRPr="00302264">
              <w:rPr>
                <w:noProof/>
                <w:color w:val="000000"/>
              </w:rPr>
              <w:t>2.25%</w:t>
            </w:r>
          </w:p>
        </w:tc>
        <w:tc>
          <w:tcPr>
            <w:tcW w:w="0" w:type="auto"/>
            <w:tcBorders>
              <w:top w:val="nil"/>
              <w:left w:val="nil"/>
              <w:bottom w:val="single" w:sz="8" w:space="0" w:color="auto"/>
              <w:right w:val="single" w:sz="8" w:space="0" w:color="auto"/>
            </w:tcBorders>
            <w:shd w:val="clear" w:color="auto" w:fill="FFFF00"/>
            <w:vAlign w:val="center"/>
            <w:hideMark/>
          </w:tcPr>
          <w:p w14:paraId="1CEF6C51"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3.00%</w:t>
            </w:r>
          </w:p>
        </w:tc>
        <w:tc>
          <w:tcPr>
            <w:tcW w:w="0" w:type="auto"/>
            <w:tcBorders>
              <w:top w:val="nil"/>
              <w:left w:val="single" w:sz="4" w:space="0" w:color="auto"/>
              <w:bottom w:val="single" w:sz="4" w:space="0" w:color="auto"/>
              <w:right w:val="single" w:sz="4" w:space="0" w:color="auto"/>
            </w:tcBorders>
            <w:vAlign w:val="center"/>
          </w:tcPr>
          <w:p w14:paraId="4DA7A533" w14:textId="40671045" w:rsidR="00F92BBC" w:rsidRPr="00302264" w:rsidRDefault="00F92BBC" w:rsidP="00F92BBC">
            <w:pPr>
              <w:spacing w:after="0"/>
              <w:jc w:val="center"/>
              <w:rPr>
                <w:noProof/>
                <w:color w:val="000000"/>
              </w:rPr>
            </w:pPr>
            <w:r w:rsidRPr="00302264">
              <w:rPr>
                <w:noProof/>
                <w:color w:val="000000"/>
              </w:rPr>
              <w:t>3.75%</w:t>
            </w:r>
          </w:p>
        </w:tc>
        <w:tc>
          <w:tcPr>
            <w:tcW w:w="0" w:type="auto"/>
            <w:tcBorders>
              <w:top w:val="nil"/>
              <w:left w:val="nil"/>
              <w:bottom w:val="single" w:sz="4" w:space="0" w:color="auto"/>
              <w:right w:val="single" w:sz="4" w:space="0" w:color="auto"/>
            </w:tcBorders>
            <w:vAlign w:val="bottom"/>
          </w:tcPr>
          <w:p w14:paraId="278022F8" w14:textId="4CE7EDF3" w:rsidR="00F92BBC" w:rsidRPr="00302264" w:rsidRDefault="00F92BBC" w:rsidP="00F92BBC">
            <w:pPr>
              <w:spacing w:after="0"/>
              <w:jc w:val="center"/>
              <w:rPr>
                <w:noProof/>
                <w:color w:val="000000"/>
              </w:rPr>
            </w:pPr>
            <w:r w:rsidRPr="00302264">
              <w:rPr>
                <w:noProof/>
                <w:color w:val="000000"/>
              </w:rPr>
              <w:t>15,025</w:t>
            </w:r>
          </w:p>
        </w:tc>
        <w:tc>
          <w:tcPr>
            <w:tcW w:w="0" w:type="auto"/>
            <w:tcBorders>
              <w:top w:val="nil"/>
              <w:left w:val="nil"/>
              <w:bottom w:val="single" w:sz="8" w:space="0" w:color="auto"/>
              <w:right w:val="single" w:sz="8" w:space="0" w:color="auto"/>
            </w:tcBorders>
            <w:shd w:val="clear" w:color="auto" w:fill="FFFF00"/>
            <w:noWrap/>
            <w:vAlign w:val="center"/>
            <w:hideMark/>
          </w:tcPr>
          <w:p w14:paraId="281B20EA"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20,033</w:t>
            </w:r>
          </w:p>
        </w:tc>
        <w:tc>
          <w:tcPr>
            <w:tcW w:w="0" w:type="auto"/>
            <w:tcBorders>
              <w:top w:val="nil"/>
              <w:left w:val="single" w:sz="4" w:space="0" w:color="auto"/>
              <w:bottom w:val="single" w:sz="4" w:space="0" w:color="auto"/>
              <w:right w:val="single" w:sz="4" w:space="0" w:color="auto"/>
            </w:tcBorders>
            <w:vAlign w:val="bottom"/>
          </w:tcPr>
          <w:p w14:paraId="46B0B11F" w14:textId="2CDA705A" w:rsidR="00F92BBC" w:rsidRPr="00302264" w:rsidRDefault="00F92BBC" w:rsidP="00F92BBC">
            <w:pPr>
              <w:spacing w:after="0"/>
              <w:jc w:val="center"/>
              <w:rPr>
                <w:noProof/>
                <w:color w:val="000000"/>
              </w:rPr>
            </w:pPr>
            <w:r w:rsidRPr="00302264">
              <w:rPr>
                <w:noProof/>
                <w:color w:val="000000"/>
              </w:rPr>
              <w:t>25,041</w:t>
            </w:r>
          </w:p>
        </w:tc>
      </w:tr>
      <w:tr w:rsidR="00DF34D1" w:rsidRPr="009C57DC" w14:paraId="4305D83C" w14:textId="5264E978" w:rsidTr="00A8243F">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7AD348CC"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5</w:t>
            </w:r>
          </w:p>
        </w:tc>
        <w:tc>
          <w:tcPr>
            <w:tcW w:w="0" w:type="auto"/>
            <w:tcBorders>
              <w:top w:val="nil"/>
              <w:left w:val="single" w:sz="4" w:space="0" w:color="auto"/>
              <w:bottom w:val="single" w:sz="4" w:space="0" w:color="auto"/>
              <w:right w:val="single" w:sz="4" w:space="0" w:color="auto"/>
            </w:tcBorders>
            <w:vAlign w:val="center"/>
          </w:tcPr>
          <w:p w14:paraId="45AEFDE3" w14:textId="3BBEC586" w:rsidR="00F92BBC" w:rsidRPr="00302264" w:rsidRDefault="00F92BBC" w:rsidP="00F92BBC">
            <w:pPr>
              <w:spacing w:after="0"/>
              <w:jc w:val="center"/>
              <w:rPr>
                <w:noProof/>
                <w:color w:val="000000"/>
              </w:rPr>
            </w:pPr>
            <w:r w:rsidRPr="00302264">
              <w:rPr>
                <w:noProof/>
                <w:color w:val="000000"/>
              </w:rPr>
              <w:t>3.00%</w:t>
            </w:r>
          </w:p>
        </w:tc>
        <w:tc>
          <w:tcPr>
            <w:tcW w:w="0" w:type="auto"/>
            <w:tcBorders>
              <w:top w:val="nil"/>
              <w:left w:val="nil"/>
              <w:bottom w:val="single" w:sz="8" w:space="0" w:color="auto"/>
              <w:right w:val="single" w:sz="8" w:space="0" w:color="auto"/>
            </w:tcBorders>
            <w:shd w:val="clear" w:color="auto" w:fill="FFFF00"/>
            <w:vAlign w:val="center"/>
            <w:hideMark/>
          </w:tcPr>
          <w:p w14:paraId="169CA808"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4.00%</w:t>
            </w:r>
          </w:p>
        </w:tc>
        <w:tc>
          <w:tcPr>
            <w:tcW w:w="0" w:type="auto"/>
            <w:tcBorders>
              <w:top w:val="nil"/>
              <w:left w:val="single" w:sz="4" w:space="0" w:color="auto"/>
              <w:bottom w:val="single" w:sz="4" w:space="0" w:color="auto"/>
              <w:right w:val="single" w:sz="4" w:space="0" w:color="auto"/>
            </w:tcBorders>
            <w:vAlign w:val="center"/>
          </w:tcPr>
          <w:p w14:paraId="2D7EFC20" w14:textId="78A056AB" w:rsidR="00F92BBC" w:rsidRPr="00302264" w:rsidRDefault="00F92BBC" w:rsidP="00F92BBC">
            <w:pPr>
              <w:spacing w:after="0"/>
              <w:jc w:val="center"/>
              <w:rPr>
                <w:noProof/>
                <w:color w:val="000000"/>
              </w:rPr>
            </w:pPr>
            <w:r w:rsidRPr="00302264">
              <w:rPr>
                <w:noProof/>
                <w:color w:val="000000"/>
              </w:rPr>
              <w:t>5.00%</w:t>
            </w:r>
          </w:p>
        </w:tc>
        <w:tc>
          <w:tcPr>
            <w:tcW w:w="0" w:type="auto"/>
            <w:tcBorders>
              <w:top w:val="nil"/>
              <w:left w:val="nil"/>
              <w:bottom w:val="single" w:sz="4" w:space="0" w:color="auto"/>
              <w:right w:val="single" w:sz="4" w:space="0" w:color="auto"/>
            </w:tcBorders>
            <w:vAlign w:val="bottom"/>
          </w:tcPr>
          <w:p w14:paraId="22CAACA0" w14:textId="3A29E4B1" w:rsidR="00F92BBC" w:rsidRPr="00302264" w:rsidRDefault="00F92BBC" w:rsidP="00F92BBC">
            <w:pPr>
              <w:spacing w:after="0"/>
              <w:jc w:val="center"/>
              <w:rPr>
                <w:noProof/>
                <w:color w:val="000000"/>
              </w:rPr>
            </w:pPr>
            <w:r w:rsidRPr="00302264">
              <w:rPr>
                <w:noProof/>
                <w:color w:val="000000"/>
              </w:rPr>
              <w:t>20,033</w:t>
            </w:r>
          </w:p>
        </w:tc>
        <w:tc>
          <w:tcPr>
            <w:tcW w:w="0" w:type="auto"/>
            <w:tcBorders>
              <w:top w:val="nil"/>
              <w:left w:val="nil"/>
              <w:bottom w:val="single" w:sz="8" w:space="0" w:color="auto"/>
              <w:right w:val="single" w:sz="8" w:space="0" w:color="auto"/>
            </w:tcBorders>
            <w:shd w:val="clear" w:color="auto" w:fill="FFFF00"/>
            <w:noWrap/>
            <w:vAlign w:val="center"/>
            <w:hideMark/>
          </w:tcPr>
          <w:p w14:paraId="12E7005E"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26,711</w:t>
            </w:r>
          </w:p>
        </w:tc>
        <w:tc>
          <w:tcPr>
            <w:tcW w:w="0" w:type="auto"/>
            <w:tcBorders>
              <w:top w:val="nil"/>
              <w:left w:val="single" w:sz="4" w:space="0" w:color="auto"/>
              <w:bottom w:val="single" w:sz="4" w:space="0" w:color="auto"/>
              <w:right w:val="single" w:sz="4" w:space="0" w:color="auto"/>
            </w:tcBorders>
            <w:vAlign w:val="bottom"/>
          </w:tcPr>
          <w:p w14:paraId="35CDE3B4" w14:textId="531508A2" w:rsidR="00F92BBC" w:rsidRPr="00302264" w:rsidRDefault="00F92BBC" w:rsidP="00F92BBC">
            <w:pPr>
              <w:spacing w:after="0"/>
              <w:jc w:val="center"/>
              <w:rPr>
                <w:noProof/>
                <w:color w:val="000000"/>
              </w:rPr>
            </w:pPr>
            <w:r w:rsidRPr="00302264">
              <w:rPr>
                <w:noProof/>
                <w:color w:val="000000"/>
              </w:rPr>
              <w:t>33,388</w:t>
            </w:r>
          </w:p>
        </w:tc>
      </w:tr>
      <w:tr w:rsidR="00DF34D1" w:rsidRPr="009C57DC" w14:paraId="3CB15747" w14:textId="62362346" w:rsidTr="00A8243F">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52455794"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6</w:t>
            </w:r>
          </w:p>
        </w:tc>
        <w:tc>
          <w:tcPr>
            <w:tcW w:w="0" w:type="auto"/>
            <w:tcBorders>
              <w:top w:val="nil"/>
              <w:left w:val="single" w:sz="4" w:space="0" w:color="auto"/>
              <w:bottom w:val="single" w:sz="4" w:space="0" w:color="auto"/>
              <w:right w:val="single" w:sz="4" w:space="0" w:color="auto"/>
            </w:tcBorders>
            <w:vAlign w:val="center"/>
          </w:tcPr>
          <w:p w14:paraId="33E04E85" w14:textId="20AC78DA" w:rsidR="00F92BBC" w:rsidRPr="00302264" w:rsidRDefault="00F92BBC" w:rsidP="00F92BBC">
            <w:pPr>
              <w:spacing w:after="0"/>
              <w:jc w:val="center"/>
              <w:rPr>
                <w:noProof/>
                <w:color w:val="000000"/>
              </w:rPr>
            </w:pPr>
            <w:r w:rsidRPr="00302264">
              <w:rPr>
                <w:noProof/>
                <w:color w:val="000000"/>
              </w:rPr>
              <w:t>3.75%</w:t>
            </w:r>
          </w:p>
        </w:tc>
        <w:tc>
          <w:tcPr>
            <w:tcW w:w="0" w:type="auto"/>
            <w:tcBorders>
              <w:top w:val="nil"/>
              <w:left w:val="nil"/>
              <w:bottom w:val="single" w:sz="8" w:space="0" w:color="auto"/>
              <w:right w:val="single" w:sz="8" w:space="0" w:color="auto"/>
            </w:tcBorders>
            <w:shd w:val="clear" w:color="auto" w:fill="FFFF00"/>
            <w:vAlign w:val="center"/>
            <w:hideMark/>
          </w:tcPr>
          <w:p w14:paraId="493DA42E"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5.00%</w:t>
            </w:r>
          </w:p>
        </w:tc>
        <w:tc>
          <w:tcPr>
            <w:tcW w:w="0" w:type="auto"/>
            <w:tcBorders>
              <w:top w:val="nil"/>
              <w:left w:val="single" w:sz="4" w:space="0" w:color="auto"/>
              <w:bottom w:val="single" w:sz="4" w:space="0" w:color="auto"/>
              <w:right w:val="single" w:sz="4" w:space="0" w:color="auto"/>
            </w:tcBorders>
            <w:vAlign w:val="center"/>
          </w:tcPr>
          <w:p w14:paraId="6410F453" w14:textId="74373CD4" w:rsidR="00F92BBC" w:rsidRPr="00302264" w:rsidRDefault="00F92BBC" w:rsidP="00F92BBC">
            <w:pPr>
              <w:spacing w:after="0"/>
              <w:jc w:val="center"/>
              <w:rPr>
                <w:noProof/>
                <w:color w:val="000000"/>
              </w:rPr>
            </w:pPr>
            <w:r w:rsidRPr="00302264">
              <w:rPr>
                <w:noProof/>
                <w:color w:val="000000"/>
              </w:rPr>
              <w:t>6.25%</w:t>
            </w:r>
          </w:p>
        </w:tc>
        <w:tc>
          <w:tcPr>
            <w:tcW w:w="0" w:type="auto"/>
            <w:tcBorders>
              <w:top w:val="nil"/>
              <w:left w:val="nil"/>
              <w:bottom w:val="single" w:sz="4" w:space="0" w:color="auto"/>
              <w:right w:val="single" w:sz="4" w:space="0" w:color="auto"/>
            </w:tcBorders>
            <w:vAlign w:val="bottom"/>
          </w:tcPr>
          <w:p w14:paraId="0D409798" w14:textId="06258BC1" w:rsidR="00F92BBC" w:rsidRPr="00302264" w:rsidRDefault="00F92BBC" w:rsidP="00F92BBC">
            <w:pPr>
              <w:spacing w:after="0"/>
              <w:jc w:val="center"/>
              <w:rPr>
                <w:noProof/>
                <w:color w:val="000000"/>
              </w:rPr>
            </w:pPr>
            <w:r w:rsidRPr="00302264">
              <w:rPr>
                <w:noProof/>
                <w:color w:val="000000"/>
              </w:rPr>
              <w:t>25,041</w:t>
            </w:r>
          </w:p>
        </w:tc>
        <w:tc>
          <w:tcPr>
            <w:tcW w:w="0" w:type="auto"/>
            <w:tcBorders>
              <w:top w:val="nil"/>
              <w:left w:val="nil"/>
              <w:bottom w:val="single" w:sz="8" w:space="0" w:color="auto"/>
              <w:right w:val="single" w:sz="8" w:space="0" w:color="auto"/>
            </w:tcBorders>
            <w:shd w:val="clear" w:color="auto" w:fill="FFFF00"/>
            <w:noWrap/>
            <w:vAlign w:val="center"/>
            <w:hideMark/>
          </w:tcPr>
          <w:p w14:paraId="5CD04343"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33,388</w:t>
            </w:r>
          </w:p>
        </w:tc>
        <w:tc>
          <w:tcPr>
            <w:tcW w:w="0" w:type="auto"/>
            <w:tcBorders>
              <w:top w:val="nil"/>
              <w:left w:val="single" w:sz="4" w:space="0" w:color="auto"/>
              <w:bottom w:val="single" w:sz="4" w:space="0" w:color="auto"/>
              <w:right w:val="single" w:sz="4" w:space="0" w:color="auto"/>
            </w:tcBorders>
            <w:vAlign w:val="bottom"/>
          </w:tcPr>
          <w:p w14:paraId="4D3A2C01" w14:textId="68F903D1" w:rsidR="00F92BBC" w:rsidRPr="00302264" w:rsidRDefault="00F92BBC" w:rsidP="00F92BBC">
            <w:pPr>
              <w:spacing w:after="0"/>
              <w:jc w:val="center"/>
              <w:rPr>
                <w:noProof/>
                <w:color w:val="000000"/>
              </w:rPr>
            </w:pPr>
            <w:r w:rsidRPr="00302264">
              <w:rPr>
                <w:noProof/>
                <w:color w:val="000000"/>
              </w:rPr>
              <w:t>41,735</w:t>
            </w:r>
          </w:p>
        </w:tc>
      </w:tr>
      <w:tr w:rsidR="00DF34D1" w:rsidRPr="009C57DC" w14:paraId="7E309CB3" w14:textId="01BB8C4F" w:rsidTr="00A8243F">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7A6E14E2"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7</w:t>
            </w:r>
          </w:p>
        </w:tc>
        <w:tc>
          <w:tcPr>
            <w:tcW w:w="0" w:type="auto"/>
            <w:tcBorders>
              <w:top w:val="nil"/>
              <w:left w:val="single" w:sz="4" w:space="0" w:color="auto"/>
              <w:bottom w:val="single" w:sz="4" w:space="0" w:color="auto"/>
              <w:right w:val="single" w:sz="4" w:space="0" w:color="auto"/>
            </w:tcBorders>
            <w:vAlign w:val="center"/>
          </w:tcPr>
          <w:p w14:paraId="6F408E58" w14:textId="13A50E80" w:rsidR="00F92BBC" w:rsidRPr="00302264" w:rsidRDefault="00F92BBC" w:rsidP="00F92BBC">
            <w:pPr>
              <w:spacing w:after="0"/>
              <w:jc w:val="center"/>
              <w:rPr>
                <w:noProof/>
                <w:color w:val="000000"/>
              </w:rPr>
            </w:pPr>
            <w:r w:rsidRPr="00302264">
              <w:rPr>
                <w:noProof/>
                <w:color w:val="000000"/>
              </w:rPr>
              <w:t>4.50%</w:t>
            </w:r>
          </w:p>
        </w:tc>
        <w:tc>
          <w:tcPr>
            <w:tcW w:w="0" w:type="auto"/>
            <w:tcBorders>
              <w:top w:val="nil"/>
              <w:left w:val="nil"/>
              <w:bottom w:val="single" w:sz="8" w:space="0" w:color="auto"/>
              <w:right w:val="single" w:sz="8" w:space="0" w:color="auto"/>
            </w:tcBorders>
            <w:shd w:val="clear" w:color="auto" w:fill="FFFF00"/>
            <w:vAlign w:val="center"/>
            <w:hideMark/>
          </w:tcPr>
          <w:p w14:paraId="6C2416FD"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6.00%</w:t>
            </w:r>
          </w:p>
        </w:tc>
        <w:tc>
          <w:tcPr>
            <w:tcW w:w="0" w:type="auto"/>
            <w:tcBorders>
              <w:top w:val="nil"/>
              <w:left w:val="single" w:sz="4" w:space="0" w:color="auto"/>
              <w:bottom w:val="single" w:sz="4" w:space="0" w:color="auto"/>
              <w:right w:val="single" w:sz="4" w:space="0" w:color="auto"/>
            </w:tcBorders>
            <w:vAlign w:val="center"/>
          </w:tcPr>
          <w:p w14:paraId="28D27397" w14:textId="696F0C9B" w:rsidR="00F92BBC" w:rsidRPr="00302264" w:rsidRDefault="00F92BBC" w:rsidP="00F92BBC">
            <w:pPr>
              <w:spacing w:after="0"/>
              <w:jc w:val="center"/>
              <w:rPr>
                <w:noProof/>
                <w:color w:val="000000"/>
              </w:rPr>
            </w:pPr>
            <w:r w:rsidRPr="00302264">
              <w:rPr>
                <w:noProof/>
                <w:color w:val="000000"/>
              </w:rPr>
              <w:t>7.50%</w:t>
            </w:r>
          </w:p>
        </w:tc>
        <w:tc>
          <w:tcPr>
            <w:tcW w:w="0" w:type="auto"/>
            <w:tcBorders>
              <w:top w:val="nil"/>
              <w:left w:val="nil"/>
              <w:bottom w:val="single" w:sz="4" w:space="0" w:color="auto"/>
              <w:right w:val="single" w:sz="4" w:space="0" w:color="auto"/>
            </w:tcBorders>
            <w:vAlign w:val="bottom"/>
          </w:tcPr>
          <w:p w14:paraId="08270BD7" w14:textId="64437790" w:rsidR="00F92BBC" w:rsidRPr="00302264" w:rsidRDefault="00F92BBC" w:rsidP="00F92BBC">
            <w:pPr>
              <w:spacing w:after="0"/>
              <w:jc w:val="center"/>
              <w:rPr>
                <w:noProof/>
                <w:color w:val="000000"/>
              </w:rPr>
            </w:pPr>
            <w:r w:rsidRPr="00302264">
              <w:rPr>
                <w:noProof/>
                <w:color w:val="000000"/>
              </w:rPr>
              <w:t>30,050</w:t>
            </w:r>
          </w:p>
        </w:tc>
        <w:tc>
          <w:tcPr>
            <w:tcW w:w="0" w:type="auto"/>
            <w:tcBorders>
              <w:top w:val="nil"/>
              <w:left w:val="nil"/>
              <w:bottom w:val="single" w:sz="8" w:space="0" w:color="auto"/>
              <w:right w:val="single" w:sz="8" w:space="0" w:color="auto"/>
            </w:tcBorders>
            <w:shd w:val="clear" w:color="auto" w:fill="FFFF00"/>
            <w:noWrap/>
            <w:vAlign w:val="center"/>
            <w:hideMark/>
          </w:tcPr>
          <w:p w14:paraId="3F92CF89"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40,066</w:t>
            </w:r>
          </w:p>
        </w:tc>
        <w:tc>
          <w:tcPr>
            <w:tcW w:w="0" w:type="auto"/>
            <w:tcBorders>
              <w:top w:val="nil"/>
              <w:left w:val="single" w:sz="4" w:space="0" w:color="auto"/>
              <w:bottom w:val="single" w:sz="4" w:space="0" w:color="auto"/>
              <w:right w:val="single" w:sz="4" w:space="0" w:color="auto"/>
            </w:tcBorders>
            <w:vAlign w:val="bottom"/>
          </w:tcPr>
          <w:p w14:paraId="60F4FC86" w14:textId="34146861" w:rsidR="00F92BBC" w:rsidRPr="00302264" w:rsidRDefault="00F92BBC" w:rsidP="00F92BBC">
            <w:pPr>
              <w:spacing w:after="0"/>
              <w:jc w:val="center"/>
              <w:rPr>
                <w:noProof/>
                <w:color w:val="000000"/>
              </w:rPr>
            </w:pPr>
            <w:r w:rsidRPr="00302264">
              <w:rPr>
                <w:noProof/>
                <w:color w:val="000000"/>
              </w:rPr>
              <w:t>50,083</w:t>
            </w:r>
          </w:p>
        </w:tc>
      </w:tr>
      <w:tr w:rsidR="00DF34D1" w:rsidRPr="009C57DC" w14:paraId="5BB015B0" w14:textId="5736391C" w:rsidTr="00A8243F">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29F86861"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8</w:t>
            </w:r>
          </w:p>
        </w:tc>
        <w:tc>
          <w:tcPr>
            <w:tcW w:w="0" w:type="auto"/>
            <w:tcBorders>
              <w:top w:val="nil"/>
              <w:left w:val="single" w:sz="4" w:space="0" w:color="auto"/>
              <w:bottom w:val="single" w:sz="4" w:space="0" w:color="auto"/>
              <w:right w:val="single" w:sz="4" w:space="0" w:color="auto"/>
            </w:tcBorders>
            <w:vAlign w:val="center"/>
          </w:tcPr>
          <w:p w14:paraId="566FACEE" w14:textId="3E2A0D08" w:rsidR="00F92BBC" w:rsidRPr="00302264" w:rsidRDefault="00F92BBC" w:rsidP="00F92BBC">
            <w:pPr>
              <w:spacing w:after="0"/>
              <w:jc w:val="center"/>
              <w:rPr>
                <w:noProof/>
                <w:color w:val="000000"/>
              </w:rPr>
            </w:pPr>
            <w:r w:rsidRPr="00302264">
              <w:rPr>
                <w:noProof/>
                <w:color w:val="000000"/>
              </w:rPr>
              <w:t>5.25%</w:t>
            </w:r>
          </w:p>
        </w:tc>
        <w:tc>
          <w:tcPr>
            <w:tcW w:w="0" w:type="auto"/>
            <w:tcBorders>
              <w:top w:val="nil"/>
              <w:left w:val="nil"/>
              <w:bottom w:val="single" w:sz="8" w:space="0" w:color="auto"/>
              <w:right w:val="single" w:sz="8" w:space="0" w:color="auto"/>
            </w:tcBorders>
            <w:shd w:val="clear" w:color="auto" w:fill="FFFF00"/>
            <w:vAlign w:val="center"/>
            <w:hideMark/>
          </w:tcPr>
          <w:p w14:paraId="39C913B3"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7.00%</w:t>
            </w:r>
          </w:p>
        </w:tc>
        <w:tc>
          <w:tcPr>
            <w:tcW w:w="0" w:type="auto"/>
            <w:tcBorders>
              <w:top w:val="nil"/>
              <w:left w:val="single" w:sz="4" w:space="0" w:color="auto"/>
              <w:bottom w:val="single" w:sz="4" w:space="0" w:color="auto"/>
              <w:right w:val="single" w:sz="4" w:space="0" w:color="auto"/>
            </w:tcBorders>
            <w:vAlign w:val="center"/>
          </w:tcPr>
          <w:p w14:paraId="0CFED68D" w14:textId="0B4EC6AD" w:rsidR="00F92BBC" w:rsidRPr="00302264" w:rsidRDefault="00F92BBC" w:rsidP="00F92BBC">
            <w:pPr>
              <w:spacing w:after="0"/>
              <w:jc w:val="center"/>
              <w:rPr>
                <w:noProof/>
                <w:color w:val="000000"/>
              </w:rPr>
            </w:pPr>
            <w:r w:rsidRPr="00302264">
              <w:rPr>
                <w:noProof/>
                <w:color w:val="000000"/>
              </w:rPr>
              <w:t>8.75%</w:t>
            </w:r>
          </w:p>
        </w:tc>
        <w:tc>
          <w:tcPr>
            <w:tcW w:w="0" w:type="auto"/>
            <w:tcBorders>
              <w:top w:val="nil"/>
              <w:left w:val="nil"/>
              <w:bottom w:val="single" w:sz="4" w:space="0" w:color="auto"/>
              <w:right w:val="single" w:sz="4" w:space="0" w:color="auto"/>
            </w:tcBorders>
            <w:vAlign w:val="bottom"/>
          </w:tcPr>
          <w:p w14:paraId="77A49A84" w14:textId="68289BE2" w:rsidR="00F92BBC" w:rsidRPr="00302264" w:rsidRDefault="00F92BBC" w:rsidP="00F92BBC">
            <w:pPr>
              <w:spacing w:after="0"/>
              <w:jc w:val="center"/>
              <w:rPr>
                <w:noProof/>
                <w:color w:val="000000"/>
              </w:rPr>
            </w:pPr>
            <w:r w:rsidRPr="00302264">
              <w:rPr>
                <w:noProof/>
                <w:color w:val="000000"/>
              </w:rPr>
              <w:t>35,058</w:t>
            </w:r>
          </w:p>
        </w:tc>
        <w:tc>
          <w:tcPr>
            <w:tcW w:w="0" w:type="auto"/>
            <w:tcBorders>
              <w:top w:val="nil"/>
              <w:left w:val="nil"/>
              <w:bottom w:val="single" w:sz="8" w:space="0" w:color="auto"/>
              <w:right w:val="single" w:sz="8" w:space="0" w:color="auto"/>
            </w:tcBorders>
            <w:shd w:val="clear" w:color="auto" w:fill="FFFF00"/>
            <w:noWrap/>
            <w:vAlign w:val="center"/>
            <w:hideMark/>
          </w:tcPr>
          <w:p w14:paraId="72059849"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46,744</w:t>
            </w:r>
          </w:p>
        </w:tc>
        <w:tc>
          <w:tcPr>
            <w:tcW w:w="0" w:type="auto"/>
            <w:tcBorders>
              <w:top w:val="nil"/>
              <w:left w:val="single" w:sz="4" w:space="0" w:color="auto"/>
              <w:bottom w:val="single" w:sz="4" w:space="0" w:color="auto"/>
              <w:right w:val="single" w:sz="4" w:space="0" w:color="auto"/>
            </w:tcBorders>
            <w:vAlign w:val="bottom"/>
          </w:tcPr>
          <w:p w14:paraId="0573D5FD" w14:textId="0DF529F5" w:rsidR="00F92BBC" w:rsidRPr="00302264" w:rsidRDefault="00F92BBC" w:rsidP="00F92BBC">
            <w:pPr>
              <w:spacing w:after="0"/>
              <w:jc w:val="center"/>
              <w:rPr>
                <w:noProof/>
                <w:color w:val="000000"/>
              </w:rPr>
            </w:pPr>
            <w:r w:rsidRPr="00302264">
              <w:rPr>
                <w:noProof/>
                <w:color w:val="000000"/>
              </w:rPr>
              <w:t>58,430</w:t>
            </w:r>
          </w:p>
        </w:tc>
      </w:tr>
      <w:tr w:rsidR="00DF34D1" w:rsidRPr="009C57DC" w14:paraId="16DE9D4A" w14:textId="151B785D" w:rsidTr="00A8243F">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0D3CF3CE"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9</w:t>
            </w:r>
          </w:p>
        </w:tc>
        <w:tc>
          <w:tcPr>
            <w:tcW w:w="0" w:type="auto"/>
            <w:tcBorders>
              <w:top w:val="nil"/>
              <w:left w:val="single" w:sz="4" w:space="0" w:color="auto"/>
              <w:bottom w:val="single" w:sz="4" w:space="0" w:color="auto"/>
              <w:right w:val="single" w:sz="4" w:space="0" w:color="auto"/>
            </w:tcBorders>
            <w:vAlign w:val="center"/>
          </w:tcPr>
          <w:p w14:paraId="79F8A528" w14:textId="6E42BF26" w:rsidR="00F92BBC" w:rsidRPr="00302264" w:rsidRDefault="00F92BBC" w:rsidP="00F92BBC">
            <w:pPr>
              <w:spacing w:after="0"/>
              <w:jc w:val="center"/>
              <w:rPr>
                <w:noProof/>
                <w:color w:val="000000"/>
              </w:rPr>
            </w:pPr>
            <w:r w:rsidRPr="00302264">
              <w:rPr>
                <w:noProof/>
                <w:color w:val="000000"/>
              </w:rPr>
              <w:t>6.00%</w:t>
            </w:r>
          </w:p>
        </w:tc>
        <w:tc>
          <w:tcPr>
            <w:tcW w:w="0" w:type="auto"/>
            <w:tcBorders>
              <w:top w:val="nil"/>
              <w:left w:val="nil"/>
              <w:bottom w:val="single" w:sz="8" w:space="0" w:color="auto"/>
              <w:right w:val="single" w:sz="8" w:space="0" w:color="auto"/>
            </w:tcBorders>
            <w:shd w:val="clear" w:color="auto" w:fill="FFFF00"/>
            <w:vAlign w:val="center"/>
            <w:hideMark/>
          </w:tcPr>
          <w:p w14:paraId="7661EAC4"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8.00%</w:t>
            </w:r>
          </w:p>
        </w:tc>
        <w:tc>
          <w:tcPr>
            <w:tcW w:w="0" w:type="auto"/>
            <w:tcBorders>
              <w:top w:val="nil"/>
              <w:left w:val="single" w:sz="4" w:space="0" w:color="auto"/>
              <w:bottom w:val="single" w:sz="4" w:space="0" w:color="auto"/>
              <w:right w:val="single" w:sz="4" w:space="0" w:color="auto"/>
            </w:tcBorders>
            <w:vAlign w:val="center"/>
          </w:tcPr>
          <w:p w14:paraId="551507E1" w14:textId="78F1206A" w:rsidR="00F92BBC" w:rsidRPr="00302264" w:rsidRDefault="00F92BBC" w:rsidP="00F92BBC">
            <w:pPr>
              <w:spacing w:after="0"/>
              <w:jc w:val="center"/>
              <w:rPr>
                <w:noProof/>
                <w:color w:val="000000"/>
              </w:rPr>
            </w:pPr>
            <w:r w:rsidRPr="00302264">
              <w:rPr>
                <w:noProof/>
                <w:color w:val="000000"/>
              </w:rPr>
              <w:t>10.00%</w:t>
            </w:r>
          </w:p>
        </w:tc>
        <w:tc>
          <w:tcPr>
            <w:tcW w:w="0" w:type="auto"/>
            <w:tcBorders>
              <w:top w:val="nil"/>
              <w:left w:val="nil"/>
              <w:bottom w:val="single" w:sz="4" w:space="0" w:color="auto"/>
              <w:right w:val="single" w:sz="4" w:space="0" w:color="auto"/>
            </w:tcBorders>
            <w:vAlign w:val="bottom"/>
          </w:tcPr>
          <w:p w14:paraId="1EFBAA38" w14:textId="55757140" w:rsidR="00F92BBC" w:rsidRPr="00302264" w:rsidRDefault="00F92BBC" w:rsidP="00F92BBC">
            <w:pPr>
              <w:spacing w:after="0"/>
              <w:jc w:val="center"/>
              <w:rPr>
                <w:noProof/>
                <w:color w:val="000000"/>
              </w:rPr>
            </w:pPr>
            <w:r w:rsidRPr="00302264">
              <w:rPr>
                <w:noProof/>
                <w:color w:val="000000"/>
              </w:rPr>
              <w:t>40,066</w:t>
            </w:r>
          </w:p>
        </w:tc>
        <w:tc>
          <w:tcPr>
            <w:tcW w:w="0" w:type="auto"/>
            <w:tcBorders>
              <w:top w:val="nil"/>
              <w:left w:val="nil"/>
              <w:bottom w:val="single" w:sz="8" w:space="0" w:color="auto"/>
              <w:right w:val="single" w:sz="8" w:space="0" w:color="auto"/>
            </w:tcBorders>
            <w:shd w:val="clear" w:color="auto" w:fill="FFFF00"/>
            <w:noWrap/>
            <w:vAlign w:val="center"/>
            <w:hideMark/>
          </w:tcPr>
          <w:p w14:paraId="2578659A"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53,421</w:t>
            </w:r>
          </w:p>
        </w:tc>
        <w:tc>
          <w:tcPr>
            <w:tcW w:w="0" w:type="auto"/>
            <w:tcBorders>
              <w:top w:val="nil"/>
              <w:left w:val="single" w:sz="4" w:space="0" w:color="auto"/>
              <w:bottom w:val="single" w:sz="4" w:space="0" w:color="auto"/>
              <w:right w:val="single" w:sz="4" w:space="0" w:color="auto"/>
            </w:tcBorders>
            <w:vAlign w:val="bottom"/>
          </w:tcPr>
          <w:p w14:paraId="1AE18560" w14:textId="115751E1" w:rsidR="00F92BBC" w:rsidRPr="00302264" w:rsidRDefault="00F92BBC" w:rsidP="00F92BBC">
            <w:pPr>
              <w:spacing w:after="0"/>
              <w:jc w:val="center"/>
              <w:rPr>
                <w:noProof/>
                <w:color w:val="000000"/>
              </w:rPr>
            </w:pPr>
            <w:r w:rsidRPr="00302264">
              <w:rPr>
                <w:noProof/>
                <w:color w:val="000000"/>
              </w:rPr>
              <w:t>66,777</w:t>
            </w:r>
          </w:p>
        </w:tc>
      </w:tr>
      <w:tr w:rsidR="00DF34D1" w:rsidRPr="009C57DC" w14:paraId="6F08DC5C" w14:textId="14C2AB60" w:rsidTr="00A60AB8">
        <w:trPr>
          <w:trHeight w:val="300"/>
          <w:jc w:val="center"/>
        </w:trPr>
        <w:tc>
          <w:tcPr>
            <w:tcW w:w="0" w:type="auto"/>
            <w:tcBorders>
              <w:top w:val="single" w:sz="8" w:space="0" w:color="auto"/>
              <w:left w:val="single" w:sz="8" w:space="0" w:color="auto"/>
              <w:bottom w:val="single" w:sz="8" w:space="0" w:color="auto"/>
              <w:right w:val="single" w:sz="8" w:space="0" w:color="auto"/>
            </w:tcBorders>
            <w:vAlign w:val="center"/>
            <w:hideMark/>
          </w:tcPr>
          <w:p w14:paraId="7544D946"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10</w:t>
            </w:r>
          </w:p>
        </w:tc>
        <w:tc>
          <w:tcPr>
            <w:tcW w:w="0" w:type="auto"/>
            <w:tcBorders>
              <w:top w:val="nil"/>
              <w:left w:val="single" w:sz="4" w:space="0" w:color="auto"/>
              <w:bottom w:val="single" w:sz="4" w:space="0" w:color="auto"/>
              <w:right w:val="single" w:sz="4" w:space="0" w:color="auto"/>
            </w:tcBorders>
            <w:vAlign w:val="center"/>
          </w:tcPr>
          <w:p w14:paraId="3E78C0A9" w14:textId="11AC0D71" w:rsidR="00F92BBC" w:rsidRPr="00302264" w:rsidRDefault="00F92BBC" w:rsidP="00F92BBC">
            <w:pPr>
              <w:spacing w:after="0"/>
              <w:jc w:val="center"/>
              <w:rPr>
                <w:noProof/>
                <w:color w:val="000000"/>
              </w:rPr>
            </w:pPr>
            <w:r w:rsidRPr="00302264">
              <w:rPr>
                <w:noProof/>
                <w:color w:val="000000"/>
              </w:rPr>
              <w:t>7.50%</w:t>
            </w:r>
          </w:p>
        </w:tc>
        <w:tc>
          <w:tcPr>
            <w:tcW w:w="0" w:type="auto"/>
            <w:tcBorders>
              <w:top w:val="single" w:sz="8" w:space="0" w:color="auto"/>
              <w:left w:val="nil"/>
              <w:bottom w:val="single" w:sz="8" w:space="0" w:color="auto"/>
              <w:right w:val="single" w:sz="8" w:space="0" w:color="auto"/>
            </w:tcBorders>
            <w:shd w:val="clear" w:color="auto" w:fill="FFFF00"/>
            <w:vAlign w:val="center"/>
            <w:hideMark/>
          </w:tcPr>
          <w:p w14:paraId="6D5057E0"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10.00%</w:t>
            </w:r>
          </w:p>
        </w:tc>
        <w:tc>
          <w:tcPr>
            <w:tcW w:w="0" w:type="auto"/>
            <w:tcBorders>
              <w:top w:val="nil"/>
              <w:left w:val="single" w:sz="4" w:space="0" w:color="auto"/>
              <w:bottom w:val="single" w:sz="4" w:space="0" w:color="auto"/>
              <w:right w:val="single" w:sz="4" w:space="0" w:color="auto"/>
            </w:tcBorders>
            <w:vAlign w:val="center"/>
          </w:tcPr>
          <w:p w14:paraId="7D2AF1FE" w14:textId="15869013" w:rsidR="00F92BBC" w:rsidRPr="00302264" w:rsidRDefault="00F92BBC" w:rsidP="00F92BBC">
            <w:pPr>
              <w:spacing w:after="0"/>
              <w:jc w:val="center"/>
              <w:rPr>
                <w:noProof/>
                <w:color w:val="000000"/>
              </w:rPr>
            </w:pPr>
            <w:r w:rsidRPr="00302264">
              <w:rPr>
                <w:noProof/>
                <w:color w:val="000000"/>
              </w:rPr>
              <w:t>12.50%</w:t>
            </w:r>
          </w:p>
        </w:tc>
        <w:tc>
          <w:tcPr>
            <w:tcW w:w="0" w:type="auto"/>
            <w:tcBorders>
              <w:top w:val="nil"/>
              <w:left w:val="nil"/>
              <w:bottom w:val="single" w:sz="4" w:space="0" w:color="auto"/>
              <w:right w:val="single" w:sz="4" w:space="0" w:color="auto"/>
            </w:tcBorders>
            <w:vAlign w:val="bottom"/>
          </w:tcPr>
          <w:p w14:paraId="105C6AC0" w14:textId="6651EAFD" w:rsidR="00F92BBC" w:rsidRPr="00302264" w:rsidRDefault="00F92BBC" w:rsidP="00F92BBC">
            <w:pPr>
              <w:spacing w:after="0"/>
              <w:jc w:val="center"/>
              <w:rPr>
                <w:noProof/>
                <w:color w:val="000000"/>
              </w:rPr>
            </w:pPr>
            <w:r w:rsidRPr="00302264">
              <w:rPr>
                <w:noProof/>
                <w:color w:val="000000"/>
              </w:rPr>
              <w:t>50,083</w:t>
            </w:r>
          </w:p>
        </w:tc>
        <w:tc>
          <w:tcPr>
            <w:tcW w:w="0" w:type="auto"/>
            <w:tcBorders>
              <w:top w:val="single" w:sz="8" w:space="0" w:color="auto"/>
              <w:left w:val="nil"/>
              <w:bottom w:val="single" w:sz="8" w:space="0" w:color="auto"/>
              <w:right w:val="single" w:sz="8" w:space="0" w:color="auto"/>
            </w:tcBorders>
            <w:shd w:val="clear" w:color="auto" w:fill="FFFF00"/>
            <w:noWrap/>
            <w:vAlign w:val="center"/>
            <w:hideMark/>
          </w:tcPr>
          <w:p w14:paraId="3E48198C" w14:textId="77777777" w:rsidR="00DF34D1" w:rsidRPr="007073AD" w:rsidRDefault="00DF34D1" w:rsidP="00432FAC">
            <w:pPr>
              <w:spacing w:after="0"/>
              <w:jc w:val="center"/>
              <w:rPr>
                <w:rFonts w:eastAsia="Times New Roman"/>
                <w:noProof/>
                <w:color w:val="000000"/>
                <w:lang w:eastAsia="en-IE"/>
              </w:rPr>
            </w:pPr>
            <w:r w:rsidRPr="007073AD">
              <w:rPr>
                <w:rFonts w:eastAsia="Times New Roman"/>
                <w:noProof/>
                <w:color w:val="000000"/>
                <w:lang w:eastAsia="en-IE"/>
              </w:rPr>
              <w:t>66,777</w:t>
            </w:r>
          </w:p>
        </w:tc>
        <w:tc>
          <w:tcPr>
            <w:tcW w:w="0" w:type="auto"/>
            <w:tcBorders>
              <w:top w:val="nil"/>
              <w:left w:val="single" w:sz="4" w:space="0" w:color="auto"/>
              <w:bottom w:val="single" w:sz="4" w:space="0" w:color="auto"/>
              <w:right w:val="single" w:sz="4" w:space="0" w:color="auto"/>
            </w:tcBorders>
            <w:vAlign w:val="bottom"/>
          </w:tcPr>
          <w:p w14:paraId="59736D93" w14:textId="5DECEF37" w:rsidR="00F92BBC" w:rsidRPr="00302264" w:rsidRDefault="00F92BBC" w:rsidP="00F92BBC">
            <w:pPr>
              <w:spacing w:after="0"/>
              <w:jc w:val="center"/>
              <w:rPr>
                <w:noProof/>
                <w:color w:val="000000"/>
              </w:rPr>
            </w:pPr>
            <w:r w:rsidRPr="00302264">
              <w:rPr>
                <w:noProof/>
                <w:color w:val="000000"/>
              </w:rPr>
              <w:t>83,471</w:t>
            </w:r>
          </w:p>
        </w:tc>
      </w:tr>
      <w:tr w:rsidR="00900C07" w:rsidRPr="009C57DC" w14:paraId="3B24AF3C" w14:textId="2E3A24D3">
        <w:trPr>
          <w:trHeight w:val="218"/>
          <w:jc w:val="center"/>
        </w:trPr>
        <w:tc>
          <w:tcPr>
            <w:tcW w:w="0" w:type="auto"/>
            <w:gridSpan w:val="4"/>
            <w:tcBorders>
              <w:top w:val="single" w:sz="8" w:space="0" w:color="auto"/>
              <w:left w:val="single" w:sz="8" w:space="0" w:color="auto"/>
              <w:bottom w:val="single" w:sz="8" w:space="0" w:color="auto"/>
              <w:right w:val="single" w:sz="4" w:space="0" w:color="auto"/>
            </w:tcBorders>
            <w:vAlign w:val="center"/>
          </w:tcPr>
          <w:p w14:paraId="1658FBF2" w14:textId="0670A1DF" w:rsidR="00900C07" w:rsidRPr="00A80756" w:rsidRDefault="00900C07" w:rsidP="00F92BBC">
            <w:pPr>
              <w:spacing w:after="0"/>
              <w:jc w:val="center"/>
              <w:rPr>
                <w:rFonts w:eastAsia="Times New Roman"/>
                <w:b/>
                <w:noProof/>
                <w:color w:val="000000"/>
                <w:lang w:eastAsia="en-IE"/>
              </w:rPr>
            </w:pPr>
            <w:r w:rsidRPr="00A80756">
              <w:rPr>
                <w:rFonts w:eastAsia="Times New Roman"/>
                <w:b/>
                <w:noProof/>
                <w:color w:val="000000"/>
                <w:lang w:eastAsia="en-IE"/>
              </w:rPr>
              <w:t>Total</w:t>
            </w:r>
            <w:r w:rsidR="00244DE1" w:rsidRPr="007073AD">
              <w:rPr>
                <w:rFonts w:eastAsia="Times New Roman"/>
                <w:b/>
                <w:noProof/>
                <w:color w:val="000000"/>
                <w:lang w:eastAsia="en-IE"/>
              </w:rPr>
              <w:t xml:space="preserve"> number of</w:t>
            </w:r>
            <w:r w:rsidRPr="00A80756">
              <w:rPr>
                <w:rFonts w:eastAsia="Times New Roman"/>
                <w:b/>
                <w:noProof/>
                <w:color w:val="000000"/>
                <w:lang w:eastAsia="en-IE"/>
              </w:rPr>
              <w:t xml:space="preserve"> </w:t>
            </w:r>
            <w:r w:rsidRPr="00A80756">
              <w:rPr>
                <w:b/>
                <w:noProof/>
              </w:rPr>
              <w:t>companies</w:t>
            </w:r>
          </w:p>
        </w:tc>
        <w:tc>
          <w:tcPr>
            <w:tcW w:w="0" w:type="auto"/>
            <w:tcBorders>
              <w:top w:val="single" w:sz="4" w:space="0" w:color="auto"/>
              <w:left w:val="single" w:sz="4" w:space="0" w:color="auto"/>
              <w:bottom w:val="single" w:sz="4" w:space="0" w:color="auto"/>
              <w:right w:val="single" w:sz="4" w:space="0" w:color="auto"/>
            </w:tcBorders>
          </w:tcPr>
          <w:p w14:paraId="46778C1A" w14:textId="1D54181A" w:rsidR="00900C07" w:rsidRPr="00A80756" w:rsidRDefault="00900C07" w:rsidP="00F92BBC">
            <w:pPr>
              <w:spacing w:after="0"/>
              <w:jc w:val="center"/>
              <w:rPr>
                <w:rFonts w:eastAsia="Times New Roman"/>
                <w:b/>
                <w:noProof/>
                <w:color w:val="000000"/>
                <w:lang w:eastAsia="en-IE"/>
              </w:rPr>
            </w:pPr>
            <w:r w:rsidRPr="00A80756">
              <w:rPr>
                <w:rFonts w:eastAsia="Times New Roman"/>
                <w:b/>
                <w:noProof/>
                <w:color w:val="000000"/>
                <w:lang w:eastAsia="en-IE"/>
              </w:rPr>
              <w:t>231,632</w:t>
            </w:r>
          </w:p>
        </w:tc>
        <w:tc>
          <w:tcPr>
            <w:tcW w:w="0" w:type="auto"/>
            <w:tcBorders>
              <w:top w:val="single" w:sz="8" w:space="0" w:color="auto"/>
              <w:left w:val="single" w:sz="4" w:space="0" w:color="auto"/>
              <w:bottom w:val="single" w:sz="8" w:space="0" w:color="auto"/>
              <w:right w:val="single" w:sz="8" w:space="0" w:color="auto"/>
            </w:tcBorders>
            <w:shd w:val="clear" w:color="auto" w:fill="FFFF00"/>
            <w:noWrap/>
            <w:vAlign w:val="center"/>
          </w:tcPr>
          <w:p w14:paraId="27CB3E60" w14:textId="2A233E42" w:rsidR="00900C07" w:rsidRPr="00A80756" w:rsidRDefault="00900C07" w:rsidP="00432FAC">
            <w:pPr>
              <w:spacing w:after="0"/>
              <w:jc w:val="center"/>
              <w:rPr>
                <w:rFonts w:eastAsia="Times New Roman"/>
                <w:b/>
                <w:noProof/>
                <w:color w:val="000000"/>
                <w:lang w:eastAsia="en-IE"/>
              </w:rPr>
            </w:pPr>
            <w:r w:rsidRPr="00A80756">
              <w:rPr>
                <w:rFonts w:eastAsia="Times New Roman"/>
                <w:b/>
                <w:noProof/>
                <w:color w:val="000000"/>
                <w:lang w:eastAsia="en-IE"/>
              </w:rPr>
              <w:t xml:space="preserve">308,843 </w:t>
            </w:r>
          </w:p>
        </w:tc>
        <w:tc>
          <w:tcPr>
            <w:tcW w:w="0" w:type="auto"/>
            <w:tcBorders>
              <w:top w:val="single" w:sz="8" w:space="0" w:color="auto"/>
              <w:left w:val="nil"/>
              <w:bottom w:val="single" w:sz="8" w:space="0" w:color="auto"/>
              <w:right w:val="single" w:sz="8" w:space="0" w:color="auto"/>
            </w:tcBorders>
          </w:tcPr>
          <w:p w14:paraId="590F5FEB" w14:textId="6E7197A9" w:rsidR="00900C07" w:rsidRPr="00A80756" w:rsidRDefault="00900C07" w:rsidP="00F92BBC">
            <w:pPr>
              <w:spacing w:after="0"/>
              <w:jc w:val="center"/>
              <w:rPr>
                <w:rFonts w:eastAsia="Times New Roman"/>
                <w:b/>
                <w:noProof/>
                <w:color w:val="000000"/>
                <w:lang w:eastAsia="en-IE"/>
              </w:rPr>
            </w:pPr>
            <w:r w:rsidRPr="00A80756">
              <w:rPr>
                <w:rFonts w:eastAsia="Times New Roman"/>
                <w:b/>
                <w:noProof/>
                <w:color w:val="000000"/>
                <w:lang w:eastAsia="en-IE"/>
              </w:rPr>
              <w:t>386,053</w:t>
            </w:r>
          </w:p>
        </w:tc>
      </w:tr>
    </w:tbl>
    <w:p w14:paraId="3864E1B0" w14:textId="77777777" w:rsidR="00D22038" w:rsidRPr="00A80756" w:rsidRDefault="000D033C" w:rsidP="00A80756">
      <w:pPr>
        <w:spacing w:after="120"/>
        <w:rPr>
          <w:noProof/>
        </w:rPr>
      </w:pPr>
      <w:r>
        <w:rPr>
          <w:noProof/>
        </w:rPr>
        <w:t>T</w:t>
      </w:r>
      <w:r w:rsidRPr="00A80756">
        <w:rPr>
          <w:noProof/>
        </w:rPr>
        <w:t>he cumulative total number of newly formed 28</w:t>
      </w:r>
      <w:r w:rsidRPr="00A80756">
        <w:rPr>
          <w:noProof/>
          <w:vertAlign w:val="superscript"/>
        </w:rPr>
        <w:t>th</w:t>
      </w:r>
      <w:r w:rsidRPr="00A80756">
        <w:rPr>
          <w:noProof/>
        </w:rPr>
        <w:t xml:space="preserve"> regime companies over a period of 10 years is estimated </w:t>
      </w:r>
      <w:r w:rsidR="00D22038" w:rsidRPr="00A80756">
        <w:rPr>
          <w:noProof/>
        </w:rPr>
        <w:t>for three take-up scenarios:</w:t>
      </w:r>
    </w:p>
    <w:p w14:paraId="266616D6" w14:textId="62491623" w:rsidR="00D22038" w:rsidRPr="00D22038" w:rsidRDefault="00D16B5E" w:rsidP="00B87DBD">
      <w:pPr>
        <w:pStyle w:val="ListParagraph"/>
        <w:numPr>
          <w:ilvl w:val="0"/>
          <w:numId w:val="10"/>
        </w:numPr>
        <w:rPr>
          <w:noProof/>
        </w:rPr>
      </w:pPr>
      <w:r>
        <w:rPr>
          <w:noProof/>
        </w:rPr>
        <w:t>230</w:t>
      </w:r>
      <w:r w:rsidR="00CF3FEA">
        <w:rPr>
          <w:noProof/>
        </w:rPr>
        <w:t> </w:t>
      </w:r>
      <w:r>
        <w:rPr>
          <w:noProof/>
        </w:rPr>
        <w:t>000 companies (231</w:t>
      </w:r>
      <w:r w:rsidR="00CF3FEA">
        <w:rPr>
          <w:noProof/>
        </w:rPr>
        <w:t> </w:t>
      </w:r>
      <w:r>
        <w:rPr>
          <w:noProof/>
        </w:rPr>
        <w:t xml:space="preserve">632) </w:t>
      </w:r>
      <w:r w:rsidR="008344FE" w:rsidRPr="00A80756">
        <w:rPr>
          <w:noProof/>
        </w:rPr>
        <w:t>assuming a low take-up rate;</w:t>
      </w:r>
    </w:p>
    <w:p w14:paraId="2EDE0043" w14:textId="5E3B4E61" w:rsidR="000D033C" w:rsidRPr="008344FE" w:rsidRDefault="000D033C" w:rsidP="00B87DBD">
      <w:pPr>
        <w:pStyle w:val="ListParagraph"/>
        <w:numPr>
          <w:ilvl w:val="0"/>
          <w:numId w:val="10"/>
        </w:numPr>
        <w:rPr>
          <w:noProof/>
        </w:rPr>
      </w:pPr>
      <w:r w:rsidRPr="00A80756">
        <w:rPr>
          <w:noProof/>
        </w:rPr>
        <w:t>300</w:t>
      </w:r>
      <w:r w:rsidR="00CF3FEA">
        <w:rPr>
          <w:noProof/>
        </w:rPr>
        <w:t> </w:t>
      </w:r>
      <w:r w:rsidRPr="00A80756">
        <w:rPr>
          <w:noProof/>
        </w:rPr>
        <w:t xml:space="preserve">000 </w:t>
      </w:r>
      <w:r w:rsidR="00D22038" w:rsidRPr="00A80756">
        <w:rPr>
          <w:noProof/>
        </w:rPr>
        <w:t xml:space="preserve">companies </w:t>
      </w:r>
      <w:r w:rsidRPr="00A80756">
        <w:rPr>
          <w:noProof/>
        </w:rPr>
        <w:t>(308</w:t>
      </w:r>
      <w:r w:rsidR="00CF3FEA">
        <w:rPr>
          <w:noProof/>
        </w:rPr>
        <w:t> </w:t>
      </w:r>
      <w:r w:rsidRPr="00A80756">
        <w:rPr>
          <w:noProof/>
        </w:rPr>
        <w:t>843)</w:t>
      </w:r>
      <w:r w:rsidR="00D22038" w:rsidRPr="00A80756">
        <w:rPr>
          <w:noProof/>
        </w:rPr>
        <w:t xml:space="preserve"> assuming a moderate take-up</w:t>
      </w:r>
      <w:r w:rsidR="008344FE" w:rsidRPr="00A80756">
        <w:rPr>
          <w:noProof/>
        </w:rPr>
        <w:t xml:space="preserve"> rate</w:t>
      </w:r>
      <w:r w:rsidR="00D22038" w:rsidRPr="00A80756">
        <w:rPr>
          <w:noProof/>
        </w:rPr>
        <w:t>;</w:t>
      </w:r>
    </w:p>
    <w:p w14:paraId="30CE4002" w14:textId="70F4F845" w:rsidR="008344FE" w:rsidRPr="0030679B" w:rsidRDefault="00793647" w:rsidP="00B87DBD">
      <w:pPr>
        <w:pStyle w:val="ListParagraph"/>
        <w:numPr>
          <w:ilvl w:val="0"/>
          <w:numId w:val="10"/>
        </w:numPr>
        <w:rPr>
          <w:noProof/>
        </w:rPr>
      </w:pPr>
      <w:r w:rsidRPr="249B2C69">
        <w:rPr>
          <w:noProof/>
          <w:lang w:val="en-US"/>
        </w:rPr>
        <w:t>3</w:t>
      </w:r>
      <w:r w:rsidR="00842843" w:rsidRPr="249B2C69">
        <w:rPr>
          <w:noProof/>
          <w:lang w:val="en-US"/>
        </w:rPr>
        <w:t>8</w:t>
      </w:r>
      <w:r w:rsidR="000D2BAE" w:rsidRPr="249B2C69">
        <w:rPr>
          <w:noProof/>
          <w:lang w:val="en-US"/>
        </w:rPr>
        <w:t>0</w:t>
      </w:r>
      <w:r w:rsidR="00CF3FEA">
        <w:rPr>
          <w:noProof/>
        </w:rPr>
        <w:t> </w:t>
      </w:r>
      <w:r w:rsidRPr="249B2C69">
        <w:rPr>
          <w:noProof/>
          <w:lang w:val="en-US"/>
        </w:rPr>
        <w:t>000</w:t>
      </w:r>
      <w:r w:rsidR="00842843" w:rsidRPr="249B2C69">
        <w:rPr>
          <w:noProof/>
          <w:lang w:val="en-US"/>
        </w:rPr>
        <w:t xml:space="preserve"> companies (</w:t>
      </w:r>
      <w:r w:rsidR="00D170E0" w:rsidRPr="249B2C69">
        <w:rPr>
          <w:noProof/>
          <w:lang w:val="en-US"/>
        </w:rPr>
        <w:t>386</w:t>
      </w:r>
      <w:r w:rsidR="00CF3FEA">
        <w:rPr>
          <w:noProof/>
        </w:rPr>
        <w:t> </w:t>
      </w:r>
      <w:r w:rsidR="00D170E0" w:rsidRPr="249B2C69">
        <w:rPr>
          <w:noProof/>
          <w:lang w:val="en-US"/>
        </w:rPr>
        <w:t xml:space="preserve">053) assuming a </w:t>
      </w:r>
      <w:r w:rsidR="0030679B" w:rsidRPr="249B2C69">
        <w:rPr>
          <w:noProof/>
          <w:lang w:val="en-US"/>
        </w:rPr>
        <w:t>high</w:t>
      </w:r>
      <w:r w:rsidR="00D170E0" w:rsidRPr="249B2C69">
        <w:rPr>
          <w:noProof/>
          <w:lang w:val="en-US"/>
        </w:rPr>
        <w:t xml:space="preserve"> take-up</w:t>
      </w:r>
      <w:r w:rsidR="0030679B" w:rsidRPr="249B2C69">
        <w:rPr>
          <w:noProof/>
          <w:lang w:val="en-US"/>
        </w:rPr>
        <w:t xml:space="preserve"> rate.</w:t>
      </w:r>
    </w:p>
    <w:p w14:paraId="050597C2" w14:textId="77777777" w:rsidR="00AE1E16" w:rsidRDefault="00AE1E16" w:rsidP="00AE1E16">
      <w:pPr>
        <w:rPr>
          <w:noProof/>
        </w:rPr>
      </w:pPr>
      <w:r>
        <w:rPr>
          <w:noProof/>
        </w:rPr>
        <w:t>The moderate take-up scenario with 308 843 new 28</w:t>
      </w:r>
      <w:r w:rsidRPr="00DB61C6">
        <w:rPr>
          <w:noProof/>
          <w:vertAlign w:val="superscript"/>
        </w:rPr>
        <w:t>th</w:t>
      </w:r>
      <w:r>
        <w:rPr>
          <w:noProof/>
        </w:rPr>
        <w:t xml:space="preserve"> regime companies over a 10-year period was selected for the overall assessment of impacts as most balanced. The low and high take-up scenarios are used </w:t>
      </w:r>
      <w:r w:rsidDel="0092247C">
        <w:rPr>
          <w:noProof/>
        </w:rPr>
        <w:t xml:space="preserve">in </w:t>
      </w:r>
      <w:r w:rsidDel="0070416D">
        <w:rPr>
          <w:noProof/>
        </w:rPr>
        <w:t>the sensitivity analysis (</w:t>
      </w:r>
      <w:r>
        <w:rPr>
          <w:noProof/>
        </w:rPr>
        <w:t>see Annex 4 section 2.5.2).</w:t>
      </w:r>
    </w:p>
    <w:p w14:paraId="5643793D" w14:textId="0F9686AC" w:rsidR="009C428D" w:rsidDel="00C53F0C" w:rsidRDefault="006509AE" w:rsidP="007073AD">
      <w:pPr>
        <w:rPr>
          <w:noProof/>
        </w:rPr>
      </w:pPr>
      <w:r>
        <w:rPr>
          <w:noProof/>
          <w:lang w:eastAsia="en-GB"/>
        </w:rPr>
        <w:drawing>
          <wp:inline distT="0" distB="0" distL="0" distR="0" wp14:anchorId="4C7DBA98" wp14:editId="7583FE2C">
            <wp:extent cx="4510865" cy="3383280"/>
            <wp:effectExtent l="0" t="0" r="0" b="0"/>
            <wp:docPr id="1046031467" name="Picture 1" descr="A graph of a number of compan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31467" name="Picture 1" descr="A graph of a number of companies&#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4538017" cy="3403645"/>
                    </a:xfrm>
                    <a:prstGeom prst="rect">
                      <a:avLst/>
                    </a:prstGeom>
                  </pic:spPr>
                </pic:pic>
              </a:graphicData>
            </a:graphic>
          </wp:inline>
        </w:drawing>
      </w:r>
    </w:p>
    <w:p w14:paraId="60B8A5FD" w14:textId="17E17114" w:rsidR="003049B6" w:rsidRDefault="007073AD" w:rsidP="009D3ADA">
      <w:pPr>
        <w:pStyle w:val="AnnexTitle"/>
        <w:rPr>
          <w:noProof/>
          <w:lang w:val="en-IE"/>
        </w:rPr>
      </w:pPr>
      <w:r>
        <w:rPr>
          <w:noProof/>
        </w:rPr>
        <w:br w:type="page"/>
      </w:r>
      <w:bookmarkStart w:id="35" w:name="_Toc219390732"/>
      <w:r w:rsidR="003049B6" w:rsidRPr="007073AD">
        <w:rPr>
          <w:noProof/>
          <w:lang w:val="en-IE"/>
        </w:rPr>
        <w:t>Annex 9: D</w:t>
      </w:r>
      <w:r w:rsidR="003049B6" w:rsidRPr="003049B6">
        <w:rPr>
          <w:noProof/>
          <w:lang w:val="en-IE"/>
        </w:rPr>
        <w:t>iscarded options</w:t>
      </w:r>
      <w:bookmarkEnd w:id="35"/>
    </w:p>
    <w:p w14:paraId="64421BF7" w14:textId="77777777" w:rsidR="00260416" w:rsidRDefault="00260416" w:rsidP="00260416">
      <w:pPr>
        <w:pStyle w:val="Text1"/>
        <w:ind w:left="0"/>
        <w:rPr>
          <w:noProof/>
        </w:rPr>
      </w:pPr>
      <w:r>
        <w:rPr>
          <w:noProof/>
        </w:rPr>
        <w:t xml:space="preserve">The following policy options were considered but were discarded at an early stage: </w:t>
      </w:r>
    </w:p>
    <w:p w14:paraId="5737B4A9" w14:textId="6834A4F6" w:rsidR="00260416" w:rsidRPr="007073AD" w:rsidRDefault="00260416" w:rsidP="00B87DBD">
      <w:pPr>
        <w:pStyle w:val="ListParagraph"/>
        <w:numPr>
          <w:ilvl w:val="0"/>
          <w:numId w:val="9"/>
        </w:numPr>
        <w:tabs>
          <w:tab w:val="left" w:pos="2302"/>
        </w:tabs>
        <w:rPr>
          <w:rFonts w:eastAsia="Times New Roman"/>
          <w:b/>
          <w:noProof/>
        </w:rPr>
      </w:pPr>
      <w:r w:rsidRPr="007073AD">
        <w:rPr>
          <w:rFonts w:eastAsia="Times New Roman"/>
          <w:b/>
          <w:noProof/>
        </w:rPr>
        <w:t>Harmonisation of the type of taxation (</w:t>
      </w:r>
      <w:r w:rsidR="00091191" w:rsidRPr="007073AD">
        <w:rPr>
          <w:rFonts w:eastAsia="Times New Roman"/>
          <w:b/>
          <w:noProof/>
        </w:rPr>
        <w:t xml:space="preserve">employment </w:t>
      </w:r>
      <w:r w:rsidRPr="007073AD">
        <w:rPr>
          <w:rFonts w:eastAsia="Times New Roman"/>
          <w:b/>
          <w:noProof/>
        </w:rPr>
        <w:t xml:space="preserve">income or capital gain) </w:t>
      </w:r>
      <w:r w:rsidR="002A434C" w:rsidRPr="007073AD">
        <w:rPr>
          <w:rFonts w:eastAsia="Times New Roman"/>
          <w:b/>
          <w:noProof/>
        </w:rPr>
        <w:t>of employee stock options granted in the context of the common EU-ESO</w:t>
      </w:r>
    </w:p>
    <w:p w14:paraId="0F1AA0BF" w14:textId="7B3475D1" w:rsidR="00260416" w:rsidRDefault="00260416" w:rsidP="00260416">
      <w:pPr>
        <w:spacing w:after="0"/>
        <w:rPr>
          <w:noProof/>
        </w:rPr>
      </w:pPr>
      <w:r w:rsidRPr="009349D4">
        <w:rPr>
          <w:noProof/>
        </w:rPr>
        <w:t xml:space="preserve">This option has been discarded as it has not been considered as viable from a political perspective. Member States </w:t>
      </w:r>
      <w:r w:rsidR="00C322A3">
        <w:rPr>
          <w:noProof/>
        </w:rPr>
        <w:t>characteri</w:t>
      </w:r>
      <w:r w:rsidR="002D2246">
        <w:rPr>
          <w:noProof/>
        </w:rPr>
        <w:t>se</w:t>
      </w:r>
      <w:r w:rsidR="00C322A3" w:rsidRPr="009349D4">
        <w:rPr>
          <w:noProof/>
        </w:rPr>
        <w:t xml:space="preserve"> </w:t>
      </w:r>
      <w:r w:rsidRPr="009349D4">
        <w:rPr>
          <w:noProof/>
        </w:rPr>
        <w:t xml:space="preserve">and tax the income arising from </w:t>
      </w:r>
      <w:r>
        <w:rPr>
          <w:noProof/>
        </w:rPr>
        <w:t xml:space="preserve">employee stock options </w:t>
      </w:r>
      <w:r w:rsidRPr="009349D4">
        <w:rPr>
          <w:noProof/>
        </w:rPr>
        <w:t>differently, and this l</w:t>
      </w:r>
      <w:r>
        <w:rPr>
          <w:noProof/>
        </w:rPr>
        <w:t>ie</w:t>
      </w:r>
      <w:r w:rsidRPr="009349D4">
        <w:rPr>
          <w:noProof/>
        </w:rPr>
        <w:t xml:space="preserve">s within their tax sovereignty. Some Member States have only zero- or low-rate capital gains taxation, therefore harmonisation of the </w:t>
      </w:r>
      <w:r w:rsidR="001F6D83" w:rsidRPr="007073AD">
        <w:rPr>
          <w:noProof/>
        </w:rPr>
        <w:t>characterisation</w:t>
      </w:r>
      <w:r w:rsidRPr="007073AD">
        <w:rPr>
          <w:noProof/>
        </w:rPr>
        <w:t xml:space="preserve"> of </w:t>
      </w:r>
      <w:r w:rsidR="00882044" w:rsidRPr="007073AD">
        <w:rPr>
          <w:noProof/>
        </w:rPr>
        <w:t>the</w:t>
      </w:r>
      <w:r w:rsidRPr="007073AD">
        <w:rPr>
          <w:noProof/>
        </w:rPr>
        <w:t xml:space="preserve"> </w:t>
      </w:r>
      <w:r w:rsidRPr="009349D4">
        <w:rPr>
          <w:noProof/>
        </w:rPr>
        <w:t xml:space="preserve">income </w:t>
      </w:r>
      <w:r w:rsidR="001F55FA">
        <w:rPr>
          <w:noProof/>
        </w:rPr>
        <w:t xml:space="preserve">stemming </w:t>
      </w:r>
      <w:r>
        <w:rPr>
          <w:noProof/>
        </w:rPr>
        <w:t xml:space="preserve">from </w:t>
      </w:r>
      <w:r w:rsidR="001F55FA">
        <w:rPr>
          <w:noProof/>
        </w:rPr>
        <w:t>employee stock options granted in the context of the</w:t>
      </w:r>
      <w:r w:rsidR="00326576">
        <w:rPr>
          <w:noProof/>
        </w:rPr>
        <w:t xml:space="preserve"> </w:t>
      </w:r>
      <w:r w:rsidR="00326576" w:rsidRPr="007073AD">
        <w:rPr>
          <w:noProof/>
        </w:rPr>
        <w:t>EU-</w:t>
      </w:r>
      <w:r w:rsidRPr="007073AD">
        <w:rPr>
          <w:noProof/>
        </w:rPr>
        <w:t>ESO</w:t>
      </w:r>
      <w:r>
        <w:rPr>
          <w:noProof/>
        </w:rPr>
        <w:t xml:space="preserve"> </w:t>
      </w:r>
      <w:r w:rsidRPr="009349D4">
        <w:rPr>
          <w:noProof/>
        </w:rPr>
        <w:t xml:space="preserve">as </w:t>
      </w:r>
      <w:r w:rsidR="007F73B8" w:rsidRPr="007073AD">
        <w:rPr>
          <w:noProof/>
        </w:rPr>
        <w:t>‘</w:t>
      </w:r>
      <w:r w:rsidRPr="009349D4">
        <w:rPr>
          <w:noProof/>
        </w:rPr>
        <w:t xml:space="preserve">capital </w:t>
      </w:r>
      <w:r w:rsidRPr="007073AD">
        <w:rPr>
          <w:noProof/>
        </w:rPr>
        <w:t>gains</w:t>
      </w:r>
      <w:r w:rsidR="007F73B8" w:rsidRPr="007073AD">
        <w:rPr>
          <w:noProof/>
        </w:rPr>
        <w:t>’</w:t>
      </w:r>
      <w:r w:rsidRPr="009349D4">
        <w:rPr>
          <w:noProof/>
        </w:rPr>
        <w:t xml:space="preserve"> could lead to </w:t>
      </w:r>
      <w:r>
        <w:rPr>
          <w:noProof/>
        </w:rPr>
        <w:t>no</w:t>
      </w:r>
      <w:r w:rsidRPr="009349D4">
        <w:rPr>
          <w:noProof/>
        </w:rPr>
        <w:t xml:space="preserve"> </w:t>
      </w:r>
      <w:r>
        <w:rPr>
          <w:noProof/>
        </w:rPr>
        <w:t>or no significant</w:t>
      </w:r>
      <w:r w:rsidRPr="009349D4">
        <w:rPr>
          <w:noProof/>
        </w:rPr>
        <w:t xml:space="preserve"> taxation of </w:t>
      </w:r>
      <w:r>
        <w:rPr>
          <w:noProof/>
        </w:rPr>
        <w:t xml:space="preserve">such gains </w:t>
      </w:r>
      <w:r w:rsidRPr="009349D4">
        <w:rPr>
          <w:noProof/>
        </w:rPr>
        <w:t xml:space="preserve">or </w:t>
      </w:r>
      <w:r>
        <w:rPr>
          <w:noProof/>
        </w:rPr>
        <w:t>would</w:t>
      </w:r>
      <w:r w:rsidRPr="009349D4">
        <w:rPr>
          <w:noProof/>
        </w:rPr>
        <w:t xml:space="preserve"> requir</w:t>
      </w:r>
      <w:r>
        <w:rPr>
          <w:noProof/>
        </w:rPr>
        <w:t>e</w:t>
      </w:r>
      <w:r w:rsidRPr="009349D4">
        <w:rPr>
          <w:noProof/>
        </w:rPr>
        <w:t xml:space="preserve"> those Member States to introduce capital gain</w:t>
      </w:r>
      <w:r>
        <w:rPr>
          <w:noProof/>
        </w:rPr>
        <w:t>s</w:t>
      </w:r>
      <w:r w:rsidRPr="009349D4">
        <w:rPr>
          <w:noProof/>
        </w:rPr>
        <w:t xml:space="preserve"> taxation for the sole purposes of taxing th</w:t>
      </w:r>
      <w:r>
        <w:rPr>
          <w:noProof/>
        </w:rPr>
        <w:t>ose</w:t>
      </w:r>
      <w:r w:rsidRPr="009349D4">
        <w:rPr>
          <w:noProof/>
        </w:rPr>
        <w:t xml:space="preserve"> gains</w:t>
      </w:r>
      <w:r w:rsidRPr="007073AD">
        <w:rPr>
          <w:noProof/>
        </w:rPr>
        <w:t>.</w:t>
      </w:r>
      <w:r w:rsidRPr="009349D4">
        <w:rPr>
          <w:noProof/>
        </w:rPr>
        <w:t xml:space="preserve"> Additionally, income </w:t>
      </w:r>
      <w:r w:rsidR="00884B27" w:rsidRPr="007073AD">
        <w:rPr>
          <w:noProof/>
        </w:rPr>
        <w:t>characterised</w:t>
      </w:r>
      <w:r w:rsidRPr="009349D4">
        <w:rPr>
          <w:noProof/>
        </w:rPr>
        <w:t xml:space="preserve"> as capital gains is most often not subject to social security contributions, therefore imposing </w:t>
      </w:r>
      <w:r>
        <w:rPr>
          <w:noProof/>
        </w:rPr>
        <w:t>on</w:t>
      </w:r>
      <w:r w:rsidRPr="009349D4">
        <w:rPr>
          <w:noProof/>
        </w:rPr>
        <w:t xml:space="preserve"> Member States a characterisation of the </w:t>
      </w:r>
      <w:r w:rsidR="007D36DC">
        <w:rPr>
          <w:noProof/>
        </w:rPr>
        <w:t>EU-</w:t>
      </w:r>
      <w:r w:rsidRPr="009349D4">
        <w:rPr>
          <w:noProof/>
        </w:rPr>
        <w:t>ESO</w:t>
      </w:r>
      <w:r w:rsidRPr="007073AD">
        <w:rPr>
          <w:noProof/>
        </w:rPr>
        <w:t>-related</w:t>
      </w:r>
      <w:r w:rsidRPr="009349D4">
        <w:rPr>
          <w:noProof/>
        </w:rPr>
        <w:t xml:space="preserve"> income as capital gains would also have implications in that respect</w:t>
      </w:r>
      <w:r w:rsidRPr="009349D4" w:rsidDel="501EE3AC">
        <w:rPr>
          <w:noProof/>
        </w:rPr>
        <w:t>.</w:t>
      </w:r>
      <w:r w:rsidRPr="009349D4">
        <w:rPr>
          <w:noProof/>
        </w:rPr>
        <w:t xml:space="preserve"> Member States are best placed to determine how the income </w:t>
      </w:r>
      <w:r w:rsidR="00FC2149">
        <w:rPr>
          <w:noProof/>
        </w:rPr>
        <w:t>stemming from employee stock options granted in the context of the common</w:t>
      </w:r>
      <w:r w:rsidR="00FC2149" w:rsidRPr="009349D4">
        <w:rPr>
          <w:noProof/>
        </w:rPr>
        <w:t xml:space="preserve"> </w:t>
      </w:r>
      <w:r w:rsidR="00835C93" w:rsidRPr="007073AD">
        <w:rPr>
          <w:noProof/>
        </w:rPr>
        <w:t>EU-</w:t>
      </w:r>
      <w:r w:rsidRPr="007073AD">
        <w:rPr>
          <w:noProof/>
        </w:rPr>
        <w:t>ESO</w:t>
      </w:r>
      <w:r>
        <w:rPr>
          <w:noProof/>
        </w:rPr>
        <w:t xml:space="preserve"> should be characterised for taxation purposes</w:t>
      </w:r>
      <w:r w:rsidRPr="009349D4">
        <w:rPr>
          <w:noProof/>
        </w:rPr>
        <w:t xml:space="preserve">, taking into account their </w:t>
      </w:r>
      <w:r w:rsidR="005D7B26">
        <w:rPr>
          <w:noProof/>
        </w:rPr>
        <w:t>p</w:t>
      </w:r>
      <w:r w:rsidRPr="009349D4">
        <w:rPr>
          <w:noProof/>
        </w:rPr>
        <w:t xml:space="preserve">ersonal </w:t>
      </w:r>
      <w:r w:rsidR="005D7B26">
        <w:rPr>
          <w:noProof/>
        </w:rPr>
        <w:t>i</w:t>
      </w:r>
      <w:r w:rsidRPr="009349D4">
        <w:rPr>
          <w:noProof/>
        </w:rPr>
        <w:t xml:space="preserve">ncome </w:t>
      </w:r>
      <w:r w:rsidR="005D7B26">
        <w:rPr>
          <w:noProof/>
        </w:rPr>
        <w:t>t</w:t>
      </w:r>
      <w:r w:rsidRPr="009349D4">
        <w:rPr>
          <w:noProof/>
        </w:rPr>
        <w:t xml:space="preserve">ax frameworks, as well as their economic and social environment. Cross-border situations </w:t>
      </w:r>
      <w:r>
        <w:rPr>
          <w:noProof/>
        </w:rPr>
        <w:t>are</w:t>
      </w:r>
      <w:r w:rsidRPr="009349D4">
        <w:rPr>
          <w:noProof/>
        </w:rPr>
        <w:t xml:space="preserve"> regulated </w:t>
      </w:r>
      <w:r>
        <w:rPr>
          <w:noProof/>
        </w:rPr>
        <w:t>in accordance with</w:t>
      </w:r>
      <w:r w:rsidRPr="009349D4">
        <w:rPr>
          <w:noProof/>
        </w:rPr>
        <w:t xml:space="preserve"> double tax conventions signed between Member States and </w:t>
      </w:r>
      <w:r>
        <w:rPr>
          <w:noProof/>
        </w:rPr>
        <w:t xml:space="preserve">between </w:t>
      </w:r>
      <w:r w:rsidRPr="009349D4">
        <w:rPr>
          <w:noProof/>
        </w:rPr>
        <w:t>Member States and third countries.</w:t>
      </w:r>
      <w:r>
        <w:rPr>
          <w:noProof/>
        </w:rPr>
        <w:t xml:space="preserve"> </w:t>
      </w:r>
    </w:p>
    <w:p w14:paraId="0B9581B4" w14:textId="77777777" w:rsidR="00260416" w:rsidRPr="002E60E1" w:rsidRDefault="00260416" w:rsidP="00260416">
      <w:pPr>
        <w:pStyle w:val="ListParagraph"/>
        <w:tabs>
          <w:tab w:val="left" w:pos="2302"/>
        </w:tabs>
        <w:rPr>
          <w:rFonts w:eastAsia="Times New Roman"/>
          <w:bCs/>
          <w:noProof/>
        </w:rPr>
      </w:pPr>
    </w:p>
    <w:p w14:paraId="019D805B" w14:textId="77777777" w:rsidR="00260416" w:rsidRPr="007073AD" w:rsidRDefault="00260416" w:rsidP="00B87DBD">
      <w:pPr>
        <w:pStyle w:val="ListParagraph"/>
        <w:numPr>
          <w:ilvl w:val="0"/>
          <w:numId w:val="9"/>
        </w:numPr>
        <w:tabs>
          <w:tab w:val="left" w:pos="2302"/>
        </w:tabs>
        <w:rPr>
          <w:rFonts w:eastAsia="Times New Roman"/>
          <w:b/>
          <w:noProof/>
        </w:rPr>
      </w:pPr>
      <w:r w:rsidRPr="007073AD">
        <w:rPr>
          <w:rFonts w:eastAsia="Times New Roman"/>
          <w:b/>
          <w:noProof/>
        </w:rPr>
        <w:t>Common rules for access to public equity markets</w:t>
      </w:r>
    </w:p>
    <w:p w14:paraId="1251CBBF" w14:textId="1AC17615" w:rsidR="00260416" w:rsidRPr="00A80756" w:rsidRDefault="00260416" w:rsidP="00260416">
      <w:pPr>
        <w:tabs>
          <w:tab w:val="left" w:pos="2302"/>
        </w:tabs>
        <w:rPr>
          <w:rFonts w:eastAsia="Times New Roman"/>
          <w:noProof/>
          <w:lang w:val="en-US"/>
        </w:rPr>
      </w:pPr>
      <w:r w:rsidRPr="249B2C69">
        <w:rPr>
          <w:rFonts w:eastAsia="Times New Roman"/>
          <w:noProof/>
          <w:lang w:val="en-US"/>
        </w:rPr>
        <w:t>The introduction of common rules for the access of 28</w:t>
      </w:r>
      <w:r w:rsidRPr="249B2C69">
        <w:rPr>
          <w:rFonts w:eastAsia="Times New Roman"/>
          <w:noProof/>
          <w:vertAlign w:val="superscript"/>
          <w:lang w:val="en-US"/>
        </w:rPr>
        <w:t>th</w:t>
      </w:r>
      <w:r w:rsidRPr="249B2C69">
        <w:rPr>
          <w:rFonts w:eastAsia="Times New Roman"/>
          <w:noProof/>
          <w:lang w:val="en-US"/>
        </w:rPr>
        <w:t xml:space="preserve"> regime companies to public equity markets has been considered but was ultimately discarded. While access to public equity markets would be relevant to a small subset of 28</w:t>
      </w:r>
      <w:r w:rsidRPr="249B2C69">
        <w:rPr>
          <w:rFonts w:eastAsia="Times New Roman"/>
          <w:noProof/>
          <w:vertAlign w:val="superscript"/>
          <w:lang w:val="en-US"/>
        </w:rPr>
        <w:t>th</w:t>
      </w:r>
      <w:r w:rsidRPr="249B2C69">
        <w:rPr>
          <w:rFonts w:eastAsia="Times New Roman"/>
          <w:noProof/>
          <w:lang w:val="en-US"/>
        </w:rPr>
        <w:t xml:space="preserve"> regime companies, such as late-stage scale-ups and other mature companies ready for an initial public offering, most of the businesses targeted by this initiative, in particular startups, would not be affected. This policy option would have required the 28</w:t>
      </w:r>
      <w:r w:rsidRPr="249B2C69">
        <w:rPr>
          <w:rFonts w:eastAsia="Times New Roman"/>
          <w:noProof/>
          <w:vertAlign w:val="superscript"/>
          <w:lang w:val="en-US"/>
        </w:rPr>
        <w:t>th</w:t>
      </w:r>
      <w:r w:rsidRPr="249B2C69">
        <w:rPr>
          <w:rFonts w:eastAsia="Times New Roman"/>
          <w:noProof/>
          <w:lang w:val="en-US"/>
        </w:rPr>
        <w:t xml:space="preserve"> regime corporate legal framework to include a comprehensive set of additional rules for access to such markets, conflicting with the aim of a simple, flexible and lean framework. It would notably have required additional common rules on corporate governance aspects for which, for the Societas Europaea (SE) as well as for national public company legal forms, no harmonisation has been achieved at EU level so far. </w:t>
      </w:r>
    </w:p>
    <w:p w14:paraId="67022A10" w14:textId="77777777" w:rsidR="00260416" w:rsidRPr="00A80756" w:rsidRDefault="00260416" w:rsidP="00260416">
      <w:pPr>
        <w:rPr>
          <w:rFonts w:eastAsia="Times New Roman"/>
          <w:noProof/>
          <w:lang w:val="en-US"/>
        </w:rPr>
      </w:pPr>
      <w:r w:rsidRPr="249B2C69">
        <w:rPr>
          <w:rFonts w:eastAsia="Times New Roman"/>
          <w:noProof/>
          <w:lang w:val="en-US"/>
        </w:rPr>
        <w:t>Feedback from several Member States and several other stakeholders indicated that they would consider the introduction of common rules for access of 28</w:t>
      </w:r>
      <w:r w:rsidRPr="249B2C69">
        <w:rPr>
          <w:rFonts w:eastAsia="Times New Roman"/>
          <w:noProof/>
          <w:vertAlign w:val="superscript"/>
          <w:lang w:val="en-US"/>
        </w:rPr>
        <w:t>th</w:t>
      </w:r>
      <w:r w:rsidRPr="249B2C69">
        <w:rPr>
          <w:rFonts w:eastAsia="Times New Roman"/>
          <w:noProof/>
          <w:lang w:val="en-US"/>
        </w:rPr>
        <w:t xml:space="preserve"> regime companies to public equity markets to be premature or that they would expect more rigid governance rules for this type of companies when accessing such markets. Still, 73% of respondents to the</w:t>
      </w:r>
      <w:r w:rsidRPr="249B2C69" w:rsidDel="00DF284B">
        <w:rPr>
          <w:rFonts w:eastAsia="Times New Roman"/>
          <w:noProof/>
          <w:lang w:val="en-US"/>
        </w:rPr>
        <w:t xml:space="preserve"> </w:t>
      </w:r>
      <w:r w:rsidRPr="249B2C69">
        <w:rPr>
          <w:rFonts w:eastAsia="Times New Roman"/>
          <w:noProof/>
          <w:lang w:val="en-US"/>
        </w:rPr>
        <w:t>public consultation considered that the initiative should facilitate the eventual access of 28</w:t>
      </w:r>
      <w:r w:rsidRPr="249B2C69">
        <w:rPr>
          <w:rFonts w:eastAsia="Times New Roman"/>
          <w:noProof/>
          <w:vertAlign w:val="superscript"/>
          <w:lang w:val="en-US"/>
        </w:rPr>
        <w:t>th</w:t>
      </w:r>
      <w:r w:rsidRPr="249B2C69">
        <w:rPr>
          <w:rFonts w:eastAsia="Times New Roman"/>
          <w:noProof/>
          <w:lang w:val="en-US"/>
        </w:rPr>
        <w:t xml:space="preserve"> regime companies to regulated markets as they grow. Therefore, to facilitate such access and based on the experience of some Member States that have introduced the possibility for companies incorporated under their private limited liability company forms to access public equity markets (e.g., the Netherlands and Belgium), the possibility of Member States to grant access to public equity markets to 28</w:t>
      </w:r>
      <w:r w:rsidRPr="249B2C69">
        <w:rPr>
          <w:rFonts w:eastAsia="Times New Roman"/>
          <w:noProof/>
          <w:vertAlign w:val="superscript"/>
          <w:lang w:val="en-US"/>
        </w:rPr>
        <w:t>th</w:t>
      </w:r>
      <w:r w:rsidRPr="249B2C69">
        <w:rPr>
          <w:rFonts w:eastAsia="Times New Roman"/>
          <w:noProof/>
          <w:lang w:val="en-US"/>
        </w:rPr>
        <w:t xml:space="preserve"> regime companies subject to additional Member States’ rules was assessed as policy option 5c.</w:t>
      </w:r>
    </w:p>
    <w:p w14:paraId="59149EAF" w14:textId="77777777" w:rsidR="00260416" w:rsidRPr="00A80756" w:rsidRDefault="00260416" w:rsidP="00B87DBD">
      <w:pPr>
        <w:pStyle w:val="ListParagraph"/>
        <w:numPr>
          <w:ilvl w:val="0"/>
          <w:numId w:val="9"/>
        </w:numPr>
        <w:rPr>
          <w:rFonts w:eastAsia="Times New Roman"/>
          <w:b/>
          <w:noProof/>
          <w:lang w:val="en-US"/>
        </w:rPr>
      </w:pPr>
      <w:r w:rsidRPr="249B2C69">
        <w:rPr>
          <w:rFonts w:eastAsia="Times New Roman"/>
          <w:b/>
          <w:noProof/>
          <w:lang w:val="en-US"/>
        </w:rPr>
        <w:t>Harmonisation of employee participation rules for 28th regime companies (co-determination)</w:t>
      </w:r>
    </w:p>
    <w:p w14:paraId="07189344" w14:textId="63594387" w:rsidR="00260416" w:rsidRDefault="00260416" w:rsidP="00260416">
      <w:pPr>
        <w:tabs>
          <w:tab w:val="left" w:pos="2302"/>
        </w:tabs>
        <w:rPr>
          <w:noProof/>
        </w:rPr>
      </w:pPr>
      <w:r w:rsidRPr="249B2C69">
        <w:rPr>
          <w:rFonts w:eastAsia="Times New Roman"/>
          <w:noProof/>
          <w:lang w:val="en-IE"/>
        </w:rPr>
        <w:t>This option relates to a possibility to introduce harmonised rules on employee participation, i.e. representation of employees on boards of companies, for 28</w:t>
      </w:r>
      <w:r w:rsidRPr="249B2C69">
        <w:rPr>
          <w:rFonts w:eastAsia="Times New Roman"/>
          <w:noProof/>
          <w:vertAlign w:val="superscript"/>
          <w:lang w:val="en-IE"/>
        </w:rPr>
        <w:t>th</w:t>
      </w:r>
      <w:r w:rsidRPr="249B2C69">
        <w:rPr>
          <w:rFonts w:eastAsia="Times New Roman"/>
          <w:noProof/>
          <w:lang w:val="en-IE"/>
        </w:rPr>
        <w:t xml:space="preserve"> regime companies. There are no harmonised rules at EU level </w:t>
      </w:r>
      <w:r w:rsidR="00E03953" w:rsidRPr="249B2C69">
        <w:rPr>
          <w:rFonts w:eastAsia="Times New Roman"/>
          <w:noProof/>
          <w:lang w:val="en-IE"/>
        </w:rPr>
        <w:t>on employee participation in companie</w:t>
      </w:r>
      <w:r w:rsidR="00B11223" w:rsidRPr="249B2C69">
        <w:rPr>
          <w:rFonts w:eastAsia="Times New Roman"/>
          <w:noProof/>
          <w:lang w:val="en-IE"/>
        </w:rPr>
        <w:t>s’ boards</w:t>
      </w:r>
      <w:r w:rsidRPr="249B2C69">
        <w:rPr>
          <w:rFonts w:eastAsia="Times New Roman"/>
          <w:noProof/>
          <w:lang w:val="en-IE"/>
        </w:rPr>
        <w:t xml:space="preserve"> and the only EU rules are procedural ones (i.e.</w:t>
      </w:r>
      <w:r w:rsidR="0032535C" w:rsidRPr="249B2C69">
        <w:rPr>
          <w:rFonts w:eastAsia="Times New Roman"/>
          <w:noProof/>
          <w:lang w:val="en-IE"/>
        </w:rPr>
        <w:t>,</w:t>
      </w:r>
      <w:r w:rsidRPr="249B2C69">
        <w:rPr>
          <w:rFonts w:eastAsia="Times New Roman"/>
          <w:noProof/>
          <w:lang w:val="en-IE"/>
        </w:rPr>
        <w:t xml:space="preserve"> negotiation of employee participation rules) for European Companies (SEs)</w:t>
      </w:r>
      <w:r w:rsidRPr="249B2C69">
        <w:rPr>
          <w:rFonts w:eastAsia="Times New Roman"/>
          <w:noProof/>
          <w:vertAlign w:val="superscript"/>
          <w:lang w:val="en-IE"/>
        </w:rPr>
        <w:t>80</w:t>
      </w:r>
      <w:r w:rsidRPr="249B2C69">
        <w:rPr>
          <w:rFonts w:eastAsia="Times New Roman"/>
          <w:noProof/>
          <w:lang w:val="en-IE"/>
        </w:rPr>
        <w:t> and in case of cross-border mergers, divisions and conversions in the Cross-Border Mobility Directive. At the same time, Member States’ rules vary significantly, reflecting their socio-political cultures and traditions</w:t>
      </w:r>
      <w:r w:rsidRPr="249B2C69">
        <w:rPr>
          <w:rStyle w:val="FootnoteReference"/>
          <w:rFonts w:eastAsia="Times New Roman"/>
          <w:noProof/>
          <w:lang w:val="en-IE"/>
        </w:rPr>
        <w:footnoteReference w:id="15"/>
      </w:r>
      <w:r w:rsidRPr="249B2C69">
        <w:rPr>
          <w:rFonts w:eastAsia="Times New Roman"/>
          <w:noProof/>
          <w:lang w:val="en-IE"/>
        </w:rPr>
        <w:t>. While there has been a strong and longstanding call from trade unions in favour of introducing harmonised</w:t>
      </w:r>
      <w:r w:rsidR="0036412A" w:rsidRPr="249B2C69">
        <w:rPr>
          <w:rFonts w:eastAsia="Times New Roman"/>
          <w:noProof/>
          <w:lang w:val="en-IE"/>
        </w:rPr>
        <w:t xml:space="preserve"> </w:t>
      </w:r>
      <w:r w:rsidR="00F34D84" w:rsidRPr="249B2C69">
        <w:rPr>
          <w:rFonts w:eastAsia="Times New Roman"/>
          <w:noProof/>
          <w:lang w:val="en-IE"/>
        </w:rPr>
        <w:t>and</w:t>
      </w:r>
      <w:r w:rsidRPr="249B2C69">
        <w:rPr>
          <w:rFonts w:eastAsia="Times New Roman"/>
          <w:noProof/>
          <w:lang w:val="en-IE"/>
        </w:rPr>
        <w:t xml:space="preserve"> high </w:t>
      </w:r>
      <w:r w:rsidR="00141B3C" w:rsidRPr="249B2C69">
        <w:rPr>
          <w:rFonts w:eastAsia="Times New Roman"/>
          <w:noProof/>
          <w:lang w:val="en-IE"/>
        </w:rPr>
        <w:t>standard</w:t>
      </w:r>
      <w:r w:rsidR="004E71AA">
        <w:rPr>
          <w:rFonts w:eastAsia="Times New Roman"/>
          <w:noProof/>
          <w:lang w:val="en-IE"/>
        </w:rPr>
        <w:t>s</w:t>
      </w:r>
      <w:r w:rsidRPr="249B2C69">
        <w:rPr>
          <w:rFonts w:eastAsia="Times New Roman"/>
          <w:noProof/>
          <w:lang w:val="en-IE"/>
        </w:rPr>
        <w:t xml:space="preserve"> of</w:t>
      </w:r>
      <w:r w:rsidRPr="249B2C69">
        <w:rPr>
          <w:noProof/>
          <w:lang w:val="en-IE"/>
        </w:rPr>
        <w:t xml:space="preserve"> employee participation throughout the EU</w:t>
      </w:r>
      <w:r w:rsidR="00974A8D" w:rsidRPr="249B2C69">
        <w:rPr>
          <w:rStyle w:val="FootnoteReference"/>
          <w:rFonts w:eastAsia="Times New Roman"/>
          <w:noProof/>
          <w:lang w:val="en-IE"/>
        </w:rPr>
        <w:footnoteReference w:id="16"/>
      </w:r>
      <w:r w:rsidRPr="249B2C69">
        <w:rPr>
          <w:noProof/>
          <w:lang w:val="en-IE"/>
        </w:rPr>
        <w:t xml:space="preserve">, views of other stakeholders, including some Member States diverge, </w:t>
      </w:r>
      <w:r w:rsidRPr="249B2C69">
        <w:rPr>
          <w:rFonts w:eastAsia="Times New Roman"/>
          <w:noProof/>
          <w:lang w:val="en-IE"/>
        </w:rPr>
        <w:t xml:space="preserve">as shown by challenging negotiations on employee participation in the past. </w:t>
      </w:r>
    </w:p>
    <w:p w14:paraId="54D65C90" w14:textId="2FA7D29A" w:rsidR="00260416" w:rsidRDefault="00260416" w:rsidP="00260416">
      <w:pPr>
        <w:tabs>
          <w:tab w:val="left" w:pos="2302"/>
        </w:tabs>
        <w:rPr>
          <w:noProof/>
        </w:rPr>
      </w:pPr>
      <w:r>
        <w:rPr>
          <w:noProof/>
        </w:rPr>
        <w:t>As regards the 28</w:t>
      </w:r>
      <w:r w:rsidRPr="00224E35">
        <w:rPr>
          <w:noProof/>
          <w:vertAlign w:val="superscript"/>
        </w:rPr>
        <w:t>th</w:t>
      </w:r>
      <w:r>
        <w:rPr>
          <w:noProof/>
        </w:rPr>
        <w:t xml:space="preserve"> regime corporate legal framework, such a harmonisation would be neither legally feasible nor appropriate in the context of an initiative focusing on corporate rules as the one subject to this impact assessment</w:t>
      </w:r>
      <w:r w:rsidR="00D62C06">
        <w:rPr>
          <w:noProof/>
        </w:rPr>
        <w:t>,</w:t>
      </w:r>
      <w:r>
        <w:rPr>
          <w:noProof/>
        </w:rPr>
        <w:t xml:space="preserve"> as legislation regarding employee participation requires a different legal basis, namely </w:t>
      </w:r>
      <w:r w:rsidRPr="007C402C">
        <w:rPr>
          <w:noProof/>
        </w:rPr>
        <w:t>Article 153</w:t>
      </w:r>
      <w:r>
        <w:rPr>
          <w:noProof/>
        </w:rPr>
        <w:t xml:space="preserve"> </w:t>
      </w:r>
      <w:r w:rsidRPr="007C402C">
        <w:rPr>
          <w:noProof/>
        </w:rPr>
        <w:t>TFEU</w:t>
      </w:r>
      <w:r>
        <w:rPr>
          <w:noProof/>
        </w:rPr>
        <w:t xml:space="preserve">. Legislative initiatives under this employment legal basis </w:t>
      </w:r>
      <w:r w:rsidR="00D62C06">
        <w:rPr>
          <w:noProof/>
        </w:rPr>
        <w:t>are restricted to establishing minimum requirements and specifically initiatives on employee representation, including co-determination, must be adopted unanimously</w:t>
      </w:r>
      <w:r w:rsidDel="00D62C06">
        <w:rPr>
          <w:noProof/>
        </w:rPr>
        <w:t xml:space="preserve"> </w:t>
      </w:r>
      <w:r>
        <w:rPr>
          <w:noProof/>
        </w:rPr>
        <w:t>in Council</w:t>
      </w:r>
      <w:r w:rsidR="0017030C">
        <w:rPr>
          <w:rStyle w:val="FootnoteReference"/>
          <w:noProof/>
        </w:rPr>
        <w:footnoteReference w:id="17"/>
      </w:r>
      <w:r>
        <w:rPr>
          <w:noProof/>
        </w:rPr>
        <w:t xml:space="preserve"> </w:t>
      </w:r>
      <w:r w:rsidRPr="00002D4E">
        <w:rPr>
          <w:noProof/>
        </w:rPr>
        <w:t xml:space="preserve">and </w:t>
      </w:r>
      <w:r>
        <w:rPr>
          <w:noProof/>
        </w:rPr>
        <w:t>need to be</w:t>
      </w:r>
      <w:r w:rsidRPr="00002D4E">
        <w:rPr>
          <w:noProof/>
        </w:rPr>
        <w:t xml:space="preserve"> </w:t>
      </w:r>
      <w:r>
        <w:rPr>
          <w:noProof/>
        </w:rPr>
        <w:t xml:space="preserve">preceded by a </w:t>
      </w:r>
      <w:r w:rsidRPr="00002D4E">
        <w:rPr>
          <w:noProof/>
        </w:rPr>
        <w:t>two-</w:t>
      </w:r>
      <w:r>
        <w:rPr>
          <w:noProof/>
        </w:rPr>
        <w:t>stage</w:t>
      </w:r>
      <w:r w:rsidRPr="00002D4E">
        <w:rPr>
          <w:noProof/>
        </w:rPr>
        <w:t xml:space="preserve"> consultation</w:t>
      </w:r>
      <w:r>
        <w:rPr>
          <w:noProof/>
        </w:rPr>
        <w:t xml:space="preserve"> of social partners</w:t>
      </w:r>
      <w:r w:rsidR="00321220">
        <w:rPr>
          <w:rStyle w:val="FootnoteReference"/>
          <w:noProof/>
        </w:rPr>
        <w:footnoteReference w:id="18"/>
      </w:r>
      <w:r w:rsidRPr="00002D4E">
        <w:rPr>
          <w:noProof/>
        </w:rPr>
        <w:t>.</w:t>
      </w:r>
      <w:r>
        <w:rPr>
          <w:noProof/>
        </w:rPr>
        <w:t xml:space="preserve"> In addition, the Cross-Border Mobility </w:t>
      </w:r>
      <w:r w:rsidRPr="007073AD">
        <w:rPr>
          <w:noProof/>
        </w:rPr>
        <w:t>Directive already contains a review clause mandating the Commission</w:t>
      </w:r>
      <w:r w:rsidR="00650F99" w:rsidRPr="007073AD">
        <w:rPr>
          <w:noProof/>
        </w:rPr>
        <w:t>, following the evaluation of that Directive and of the effectiveness of the safeguards regarding negotiations of employee participation rights in cross-border conversions of companies,</w:t>
      </w:r>
      <w:r w:rsidRPr="007073AD">
        <w:rPr>
          <w:noProof/>
        </w:rPr>
        <w:t xml:space="preserve"> to consider a possible need to introduce harmonised rules on board level employee representation by February 2027.</w:t>
      </w:r>
    </w:p>
    <w:p w14:paraId="3EA9D761" w14:textId="54CB6919" w:rsidR="00260416" w:rsidRPr="007073AD" w:rsidRDefault="00496FB8" w:rsidP="00260416">
      <w:pPr>
        <w:tabs>
          <w:tab w:val="left" w:pos="2302"/>
        </w:tabs>
        <w:rPr>
          <w:noProof/>
        </w:rPr>
      </w:pPr>
      <w:r>
        <w:rPr>
          <w:rFonts w:eastAsia="Times New Roman"/>
          <w:bCs/>
          <w:noProof/>
        </w:rPr>
        <w:t>In the context of the 28</w:t>
      </w:r>
      <w:r w:rsidRPr="004567E1">
        <w:rPr>
          <w:rFonts w:eastAsia="Times New Roman"/>
          <w:bCs/>
          <w:noProof/>
          <w:vertAlign w:val="superscript"/>
        </w:rPr>
        <w:t>th</w:t>
      </w:r>
      <w:r>
        <w:rPr>
          <w:rFonts w:eastAsia="Times New Roman"/>
          <w:bCs/>
          <w:noProof/>
        </w:rPr>
        <w:t xml:space="preserve"> regime initiative setting out </w:t>
      </w:r>
      <w:r w:rsidR="005F59B7">
        <w:rPr>
          <w:rFonts w:eastAsia="Times New Roman"/>
          <w:bCs/>
          <w:noProof/>
        </w:rPr>
        <w:t xml:space="preserve">a </w:t>
      </w:r>
      <w:r>
        <w:rPr>
          <w:rFonts w:eastAsia="Times New Roman"/>
          <w:bCs/>
          <w:noProof/>
        </w:rPr>
        <w:t xml:space="preserve">corporate </w:t>
      </w:r>
      <w:r w:rsidR="005F59B7">
        <w:rPr>
          <w:rFonts w:eastAsia="Times New Roman"/>
          <w:bCs/>
          <w:noProof/>
        </w:rPr>
        <w:t xml:space="preserve">legal </w:t>
      </w:r>
      <w:r w:rsidR="005F59B7" w:rsidRPr="007073AD">
        <w:rPr>
          <w:rFonts w:eastAsia="Times New Roman"/>
          <w:bCs/>
          <w:noProof/>
        </w:rPr>
        <w:t>framework</w:t>
      </w:r>
      <w:r w:rsidR="00260416">
        <w:rPr>
          <w:rFonts w:eastAsia="Times New Roman"/>
          <w:bCs/>
          <w:noProof/>
        </w:rPr>
        <w:t>, it is considered appropriate</w:t>
      </w:r>
      <w:r w:rsidR="00260416" w:rsidRPr="007073AD">
        <w:rPr>
          <w:rFonts w:eastAsia="Times New Roman"/>
          <w:noProof/>
        </w:rPr>
        <w:t> </w:t>
      </w:r>
      <w:r w:rsidR="00603E85" w:rsidRPr="007073AD" w:rsidDel="00603E85">
        <w:rPr>
          <w:rFonts w:eastAsia="Times New Roman"/>
          <w:noProof/>
        </w:rPr>
        <w:t xml:space="preserve"> </w:t>
      </w:r>
      <w:r w:rsidR="00260416" w:rsidRPr="0060126E">
        <w:rPr>
          <w:rFonts w:eastAsia="Times New Roman"/>
          <w:noProof/>
        </w:rPr>
        <w:t>to generally apply </w:t>
      </w:r>
      <w:r w:rsidR="0080686C" w:rsidRPr="0060126E" w:rsidDel="0080686C">
        <w:rPr>
          <w:rFonts w:eastAsia="Times New Roman"/>
          <w:noProof/>
        </w:rPr>
        <w:t xml:space="preserve"> </w:t>
      </w:r>
      <w:r w:rsidR="00260416" w:rsidRPr="0060126E">
        <w:rPr>
          <w:rFonts w:eastAsia="Times New Roman"/>
          <w:noProof/>
        </w:rPr>
        <w:t xml:space="preserve">the </w:t>
      </w:r>
      <w:r w:rsidR="00A52B0A" w:rsidRPr="0060126E">
        <w:rPr>
          <w:rFonts w:eastAsia="Times New Roman"/>
          <w:noProof/>
        </w:rPr>
        <w:t>national</w:t>
      </w:r>
      <w:r w:rsidR="00260416" w:rsidRPr="0060126E">
        <w:rPr>
          <w:rFonts w:eastAsia="Times New Roman"/>
          <w:noProof/>
        </w:rPr>
        <w:t xml:space="preserve"> rules on employee participation (</w:t>
      </w:r>
      <w:r w:rsidR="00A52B0A" w:rsidRPr="0060126E">
        <w:rPr>
          <w:rFonts w:eastAsia="Times New Roman"/>
          <w:bCs/>
          <w:noProof/>
        </w:rPr>
        <w:t xml:space="preserve">where </w:t>
      </w:r>
      <w:r w:rsidR="00A52B0A" w:rsidRPr="0060126E">
        <w:rPr>
          <w:rFonts w:eastAsia="Times New Roman"/>
          <w:noProof/>
        </w:rPr>
        <w:t>such rule</w:t>
      </w:r>
      <w:r w:rsidR="004A62EE" w:rsidRPr="0060126E">
        <w:rPr>
          <w:rFonts w:eastAsia="Times New Roman"/>
          <w:noProof/>
        </w:rPr>
        <w:t>s exist</w:t>
      </w:r>
      <w:r w:rsidR="00260416" w:rsidRPr="0060126E">
        <w:rPr>
          <w:rFonts w:eastAsia="Times New Roman"/>
          <w:noProof/>
        </w:rPr>
        <w:t xml:space="preserve">) of the Member State of </w:t>
      </w:r>
      <w:r w:rsidR="004A62EE" w:rsidRPr="0060126E">
        <w:rPr>
          <w:rFonts w:eastAsia="Times New Roman"/>
          <w:noProof/>
        </w:rPr>
        <w:t>a 28</w:t>
      </w:r>
      <w:r w:rsidR="004A62EE" w:rsidRPr="0060126E">
        <w:rPr>
          <w:rFonts w:eastAsia="Times New Roman"/>
          <w:noProof/>
          <w:vertAlign w:val="superscript"/>
        </w:rPr>
        <w:t>th</w:t>
      </w:r>
      <w:r w:rsidR="004A62EE" w:rsidRPr="0060126E">
        <w:rPr>
          <w:rFonts w:eastAsia="Times New Roman"/>
          <w:noProof/>
        </w:rPr>
        <w:t xml:space="preserve"> regime company’s </w:t>
      </w:r>
      <w:r w:rsidR="00260416" w:rsidRPr="0060126E">
        <w:rPr>
          <w:rFonts w:eastAsia="Times New Roman"/>
          <w:noProof/>
        </w:rPr>
        <w:t xml:space="preserve">registration, as for any other company, </w:t>
      </w:r>
      <w:r w:rsidR="00260416" w:rsidRPr="007073AD">
        <w:rPr>
          <w:rFonts w:eastAsia="Times New Roman"/>
          <w:noProof/>
        </w:rPr>
        <w:t xml:space="preserve">while </w:t>
      </w:r>
      <w:r w:rsidR="00260416" w:rsidRPr="0085097E">
        <w:rPr>
          <w:rFonts w:eastAsia="Times New Roman"/>
          <w:bCs/>
          <w:noProof/>
        </w:rPr>
        <w:t>preventing the misuse of the 28</w:t>
      </w:r>
      <w:r w:rsidR="00260416" w:rsidRPr="0085097E">
        <w:rPr>
          <w:rFonts w:eastAsia="Times New Roman"/>
          <w:bCs/>
          <w:noProof/>
          <w:vertAlign w:val="superscript"/>
        </w:rPr>
        <w:t>th</w:t>
      </w:r>
      <w:r w:rsidR="00260416" w:rsidRPr="0085097E">
        <w:rPr>
          <w:rFonts w:eastAsia="Times New Roman"/>
          <w:bCs/>
          <w:noProof/>
        </w:rPr>
        <w:t xml:space="preserve"> regime for the purpose of depriving employees of rights to employee participation or withholding such rights</w:t>
      </w:r>
      <w:r w:rsidR="00260416" w:rsidRPr="007073AD">
        <w:rPr>
          <w:rFonts w:eastAsia="Times New Roman"/>
          <w:noProof/>
        </w:rPr>
        <w:t xml:space="preserve">. </w:t>
      </w:r>
      <w:r w:rsidR="00260416" w:rsidRPr="0060126E">
        <w:rPr>
          <w:rFonts w:eastAsia="Times New Roman"/>
          <w:noProof/>
        </w:rPr>
        <w:t>Such an approach would be well-balanced and guarantee equal treatment of 28</w:t>
      </w:r>
      <w:r w:rsidR="00260416" w:rsidRPr="0060126E">
        <w:rPr>
          <w:rFonts w:eastAsia="Times New Roman"/>
          <w:noProof/>
          <w:vertAlign w:val="superscript"/>
        </w:rPr>
        <w:t>th</w:t>
      </w:r>
      <w:r w:rsidR="00260416" w:rsidRPr="0060126E">
        <w:rPr>
          <w:rFonts w:eastAsia="Times New Roman"/>
          <w:noProof/>
        </w:rPr>
        <w:t xml:space="preserve"> regime companies with existing national company forms. This would also be in line with the feedback to the public consultation where </w:t>
      </w:r>
      <w:r w:rsidR="00260416" w:rsidRPr="007073AD">
        <w:rPr>
          <w:rFonts w:eastAsia="Times New Roman"/>
          <w:noProof/>
        </w:rPr>
        <w:t>44% of respondents stated</w:t>
      </w:r>
      <w:r w:rsidR="00260416" w:rsidRPr="007073AD" w:rsidDel="004238CE">
        <w:rPr>
          <w:rFonts w:eastAsia="Times New Roman"/>
          <w:noProof/>
        </w:rPr>
        <w:t xml:space="preserve"> </w:t>
      </w:r>
      <w:r w:rsidR="00260416" w:rsidRPr="007073AD">
        <w:rPr>
          <w:rFonts w:eastAsia="Times New Roman"/>
          <w:noProof/>
        </w:rPr>
        <w:t>that the 28th regime company should be subject to national rules (where those exist) on employee participation in the same way as other companies registered in the same Member States (with 36% with the opposite opinion and the remaining 20% - with no opinion). All responding trade unions and the majority of public authorities were also of that view, with some </w:t>
      </w:r>
      <w:r w:rsidR="007F08E3" w:rsidRPr="007073AD">
        <w:rPr>
          <w:rFonts w:eastAsia="Times New Roman"/>
          <w:noProof/>
        </w:rPr>
        <w:t xml:space="preserve">trade unions </w:t>
      </w:r>
      <w:r w:rsidR="00260416" w:rsidRPr="007073AD">
        <w:rPr>
          <w:rFonts w:eastAsia="Times New Roman"/>
          <w:noProof/>
        </w:rPr>
        <w:t xml:space="preserve">stressing that not applying the national employee participation rules to 28th regime companies would undermine national safeguards </w:t>
      </w:r>
      <w:r w:rsidR="00260416" w:rsidRPr="007073AD" w:rsidDel="00001F03">
        <w:rPr>
          <w:rFonts w:eastAsia="Times New Roman"/>
          <w:noProof/>
        </w:rPr>
        <w:t xml:space="preserve">and </w:t>
      </w:r>
      <w:r w:rsidR="00260416" w:rsidRPr="007073AD">
        <w:rPr>
          <w:rFonts w:eastAsia="Times New Roman"/>
          <w:noProof/>
        </w:rPr>
        <w:t>acquired employee rights. </w:t>
      </w:r>
      <w:r w:rsidR="00B36174">
        <w:rPr>
          <w:rFonts w:eastAsia="Times New Roman"/>
          <w:noProof/>
        </w:rPr>
        <w:t>E</w:t>
      </w:r>
      <w:r w:rsidR="00B36174" w:rsidRPr="00E50FF3">
        <w:rPr>
          <w:rFonts w:eastAsia="Times New Roman"/>
          <w:noProof/>
        </w:rPr>
        <w:t>mployer organisations (e</w:t>
      </w:r>
      <w:r w:rsidR="00B36174">
        <w:rPr>
          <w:rFonts w:eastAsia="Times New Roman"/>
          <w:noProof/>
        </w:rPr>
        <w:t>.</w:t>
      </w:r>
      <w:r w:rsidR="00B36174" w:rsidRPr="00E50FF3">
        <w:rPr>
          <w:rFonts w:eastAsia="Times New Roman"/>
          <w:noProof/>
        </w:rPr>
        <w:t xml:space="preserve">g. BusinessEurope) </w:t>
      </w:r>
      <w:r w:rsidR="00B36174">
        <w:rPr>
          <w:rFonts w:eastAsia="Times New Roman"/>
          <w:noProof/>
        </w:rPr>
        <w:t xml:space="preserve">have also not supported the idea of </w:t>
      </w:r>
      <w:r w:rsidR="00B36174" w:rsidRPr="00E50FF3">
        <w:rPr>
          <w:rFonts w:eastAsia="Times New Roman"/>
          <w:noProof/>
        </w:rPr>
        <w:t>establishing a specific new regime</w:t>
      </w:r>
      <w:r w:rsidR="009C509A">
        <w:rPr>
          <w:rFonts w:eastAsia="Times New Roman"/>
          <w:noProof/>
        </w:rPr>
        <w:t xml:space="preserve"> for</w:t>
      </w:r>
      <w:r w:rsidR="00B36174" w:rsidRPr="00E50FF3">
        <w:rPr>
          <w:rFonts w:eastAsia="Times New Roman"/>
          <w:noProof/>
        </w:rPr>
        <w:t xml:space="preserve"> employee participation</w:t>
      </w:r>
      <w:r w:rsidR="009C509A">
        <w:rPr>
          <w:rFonts w:eastAsia="Times New Roman"/>
          <w:noProof/>
        </w:rPr>
        <w:t>.</w:t>
      </w:r>
      <w:r w:rsidR="00260416">
        <w:rPr>
          <w:rFonts w:eastAsia="Times New Roman"/>
          <w:noProof/>
        </w:rPr>
        <w:t xml:space="preserve"> </w:t>
      </w:r>
    </w:p>
    <w:p w14:paraId="14B880A1" w14:textId="77777777" w:rsidR="00260416" w:rsidRPr="007073AD" w:rsidRDefault="00260416" w:rsidP="00260416">
      <w:pPr>
        <w:tabs>
          <w:tab w:val="left" w:pos="2302"/>
        </w:tabs>
        <w:rPr>
          <w:rFonts w:eastAsia="Times New Roman"/>
          <w:noProof/>
          <w:lang w:val="en-US"/>
        </w:rPr>
      </w:pPr>
      <w:r w:rsidRPr="249B2C69">
        <w:rPr>
          <w:rFonts w:eastAsia="Times New Roman"/>
          <w:noProof/>
          <w:lang w:val="en-US"/>
        </w:rPr>
        <w:t xml:space="preserve">In case the 28th regime company would carry out a cross-border merger, division or conversion, it would be subject to the rules on negotiation of employee participation under the Cross-Border Mobility Directive, for which there was strong support (70%) in the public consultation. </w:t>
      </w:r>
    </w:p>
    <w:p w14:paraId="052B528B" w14:textId="77777777" w:rsidR="00260416" w:rsidRPr="007073AD" w:rsidRDefault="00260416" w:rsidP="00B87DBD">
      <w:pPr>
        <w:pStyle w:val="ListParagraph"/>
        <w:numPr>
          <w:ilvl w:val="0"/>
          <w:numId w:val="9"/>
        </w:numPr>
        <w:tabs>
          <w:tab w:val="left" w:pos="2302"/>
        </w:tabs>
        <w:rPr>
          <w:rFonts w:eastAsia="Times New Roman"/>
          <w:b/>
          <w:noProof/>
        </w:rPr>
      </w:pPr>
      <w:r w:rsidRPr="007073AD">
        <w:rPr>
          <w:rFonts w:eastAsia="Times New Roman"/>
          <w:b/>
          <w:noProof/>
        </w:rPr>
        <w:t>Asset locks as an option under the 28</w:t>
      </w:r>
      <w:r w:rsidRPr="007073AD">
        <w:rPr>
          <w:rFonts w:eastAsia="Times New Roman"/>
          <w:b/>
          <w:noProof/>
          <w:vertAlign w:val="superscript"/>
        </w:rPr>
        <w:t>th</w:t>
      </w:r>
      <w:r w:rsidRPr="007073AD">
        <w:rPr>
          <w:rFonts w:eastAsia="Times New Roman"/>
          <w:b/>
          <w:noProof/>
        </w:rPr>
        <w:t xml:space="preserve"> regime</w:t>
      </w:r>
    </w:p>
    <w:p w14:paraId="6A0A5EDB" w14:textId="77777777" w:rsidR="00260416" w:rsidRPr="00177ABD" w:rsidRDefault="00260416" w:rsidP="00260416">
      <w:pPr>
        <w:pStyle w:val="NormalWeb"/>
        <w:jc w:val="both"/>
        <w:rPr>
          <w:noProof/>
        </w:rPr>
      </w:pPr>
      <w:r w:rsidRPr="004867FD">
        <w:rPr>
          <w:noProof/>
        </w:rPr>
        <w:t xml:space="preserve">The concept of </w:t>
      </w:r>
      <w:r>
        <w:rPr>
          <w:noProof/>
        </w:rPr>
        <w:t>“</w:t>
      </w:r>
      <w:r w:rsidRPr="004867FD">
        <w:rPr>
          <w:noProof/>
        </w:rPr>
        <w:t>steward-ownership</w:t>
      </w:r>
      <w:r>
        <w:rPr>
          <w:noProof/>
        </w:rPr>
        <w:t>”</w:t>
      </w:r>
      <w:r w:rsidRPr="004867FD">
        <w:rPr>
          <w:noProof/>
        </w:rPr>
        <w:t xml:space="preserve"> represents a distinct legal paradigm where a company’s ownership structure is defined by two fundamental pillars: the principle of self-governance, which mandates that voting control remains with individuals closely connected to the company’s operations, and the mission-priority principle, where all profits are dedicated solely to the entity’s long-term purpose. Central to this model is </w:t>
      </w:r>
      <w:r>
        <w:rPr>
          <w:noProof/>
        </w:rPr>
        <w:t>a</w:t>
      </w:r>
      <w:r w:rsidRPr="004867FD">
        <w:rPr>
          <w:noProof/>
        </w:rPr>
        <w:t xml:space="preserve"> permanent asset lock, </w:t>
      </w:r>
      <w:r>
        <w:rPr>
          <w:noProof/>
        </w:rPr>
        <w:t xml:space="preserve">which </w:t>
      </w:r>
      <w:r w:rsidRPr="004867FD">
        <w:rPr>
          <w:noProof/>
        </w:rPr>
        <w:t>prohibit</w:t>
      </w:r>
      <w:r>
        <w:rPr>
          <w:noProof/>
        </w:rPr>
        <w:t>s</w:t>
      </w:r>
      <w:r w:rsidRPr="004867FD">
        <w:rPr>
          <w:noProof/>
        </w:rPr>
        <w:t xml:space="preserve"> the distribution of dividends to shareholders and strictly limit</w:t>
      </w:r>
      <w:r>
        <w:rPr>
          <w:noProof/>
        </w:rPr>
        <w:t>s</w:t>
      </w:r>
      <w:r w:rsidRPr="004867FD">
        <w:rPr>
          <w:noProof/>
        </w:rPr>
        <w:t xml:space="preserve"> the transfer or sale of assets, ensur</w:t>
      </w:r>
      <w:r>
        <w:rPr>
          <w:noProof/>
        </w:rPr>
        <w:t>ing</w:t>
      </w:r>
      <w:r w:rsidRPr="004867FD">
        <w:rPr>
          <w:noProof/>
        </w:rPr>
        <w:t xml:space="preserve"> that the entity’s capital remains permanently bound to </w:t>
      </w:r>
      <w:r>
        <w:rPr>
          <w:noProof/>
        </w:rPr>
        <w:t>the company’s</w:t>
      </w:r>
      <w:r w:rsidRPr="004867FD">
        <w:rPr>
          <w:noProof/>
        </w:rPr>
        <w:t xml:space="preserve"> mission, effectively shielding it from </w:t>
      </w:r>
      <w:r>
        <w:rPr>
          <w:noProof/>
        </w:rPr>
        <w:t>investor expectations and pressures</w:t>
      </w:r>
      <w:r w:rsidRPr="004867FD">
        <w:rPr>
          <w:noProof/>
        </w:rPr>
        <w:t>.</w:t>
      </w:r>
    </w:p>
    <w:p w14:paraId="2AE5F8E3" w14:textId="77E70EED" w:rsidR="00260416" w:rsidRDefault="00260416" w:rsidP="00260416">
      <w:pPr>
        <w:pStyle w:val="B0Text"/>
        <w:rPr>
          <w:noProof/>
        </w:rPr>
      </w:pPr>
      <w:r>
        <w:rPr>
          <w:noProof/>
        </w:rPr>
        <w:t>Such models are conflicting with the core architecture of the 28</w:t>
      </w:r>
      <w:r w:rsidRPr="07E358E1">
        <w:rPr>
          <w:noProof/>
          <w:vertAlign w:val="superscript"/>
        </w:rPr>
        <w:t>th</w:t>
      </w:r>
      <w:r>
        <w:rPr>
          <w:noProof/>
        </w:rPr>
        <w:t xml:space="preserve"> regime corporate legal framework. One of the main objectives of this initiative is to establish a harmonised, flexible corporate framework to facilitate private capital flows and seamless movement of investments across borders in the EU. Asset locks, by contrast, require a more rigid governance framework with different rights and duties of stewards, investors and the company</w:t>
      </w:r>
      <w:r w:rsidR="00AF34F5">
        <w:rPr>
          <w:noProof/>
        </w:rPr>
        <w:t xml:space="preserve">. </w:t>
      </w:r>
      <w:r w:rsidR="00353166">
        <w:rPr>
          <w:noProof/>
        </w:rPr>
        <w:t xml:space="preserve">Also </w:t>
      </w:r>
      <w:r w:rsidR="0038087C">
        <w:rPr>
          <w:noProof/>
        </w:rPr>
        <w:t>Member States</w:t>
      </w:r>
      <w:r w:rsidR="00FD58EA">
        <w:rPr>
          <w:noProof/>
        </w:rPr>
        <w:t xml:space="preserve"> like Germany </w:t>
      </w:r>
      <w:r w:rsidR="0038053F">
        <w:rPr>
          <w:noProof/>
        </w:rPr>
        <w:t xml:space="preserve">are </w:t>
      </w:r>
      <w:r w:rsidR="0081072D">
        <w:rPr>
          <w:noProof/>
        </w:rPr>
        <w:t>currently</w:t>
      </w:r>
      <w:r w:rsidR="0038053F">
        <w:rPr>
          <w:noProof/>
        </w:rPr>
        <w:t xml:space="preserve"> </w:t>
      </w:r>
      <w:r w:rsidR="003252DE">
        <w:rPr>
          <w:noProof/>
        </w:rPr>
        <w:t>envisaging</w:t>
      </w:r>
      <w:r w:rsidR="0038053F">
        <w:rPr>
          <w:noProof/>
        </w:rPr>
        <w:t xml:space="preserve"> a separate legal form </w:t>
      </w:r>
      <w:r w:rsidR="003F71D1">
        <w:rPr>
          <w:noProof/>
        </w:rPr>
        <w:t>providing for a permanent asset lock</w:t>
      </w:r>
      <w:r w:rsidR="003252DE">
        <w:rPr>
          <w:rStyle w:val="FootnoteReference"/>
          <w:noProof/>
        </w:rPr>
        <w:footnoteReference w:id="19"/>
      </w:r>
      <w:r w:rsidR="0038053F">
        <w:rPr>
          <w:noProof/>
        </w:rPr>
        <w:t>.</w:t>
      </w:r>
      <w:r w:rsidR="00654710">
        <w:rPr>
          <w:noProof/>
        </w:rPr>
        <w:t xml:space="preserve"> </w:t>
      </w:r>
      <w:r>
        <w:rPr>
          <w:noProof/>
        </w:rPr>
        <w:t xml:space="preserve">Furthermore, an irrevocable asset lock would complicate company valuation and would significantly limit the use of equity-based instruments, such as stock options, which are essential for scaleups to attract top-tier talent in a competitive global market. The rigidity of such a structure would also limit companies’ financial agility, making it difficult to adapt or sell assets to stay robust during economic downturns. </w:t>
      </w:r>
    </w:p>
    <w:p w14:paraId="5389E392" w14:textId="77777777" w:rsidR="00260416" w:rsidRPr="007073AD" w:rsidRDefault="00260416" w:rsidP="00260416">
      <w:pPr>
        <w:pStyle w:val="B0Text"/>
        <w:rPr>
          <w:noProof/>
        </w:rPr>
      </w:pPr>
      <w:r>
        <w:rPr>
          <w:noProof/>
        </w:rPr>
        <w:t>The feedback to the public consultation did not provide a clear call for action in this area; m</w:t>
      </w:r>
      <w:r w:rsidRPr="007073AD">
        <w:rPr>
          <w:rFonts w:cs="Times New Roman"/>
          <w:noProof/>
          <w:szCs w:val="24"/>
        </w:rPr>
        <w:t>ore</w:t>
      </w:r>
      <w:r w:rsidRPr="007073AD">
        <w:rPr>
          <w:noProof/>
        </w:rPr>
        <w:t xml:space="preserve"> than half of the respondents </w:t>
      </w:r>
      <w:r>
        <w:rPr>
          <w:noProof/>
        </w:rPr>
        <w:t xml:space="preserve">who answered to the question about asset locks (over 1000) </w:t>
      </w:r>
      <w:r w:rsidRPr="007073AD">
        <w:rPr>
          <w:noProof/>
        </w:rPr>
        <w:t xml:space="preserve">did not know or had no opinion on whether solutions such as steward ownership models and asset lock mechanism are needed, indicating the lack of awareness of the issue. A third of the respondents thought that such solutions could support innovative startups and scale-ups (with support among the responding trade unions) and 18% were against them. </w:t>
      </w:r>
    </w:p>
    <w:p w14:paraId="5B1AF76B" w14:textId="331B3949" w:rsidR="0025343D" w:rsidRDefault="00260416" w:rsidP="00260416">
      <w:pPr>
        <w:rPr>
          <w:noProof/>
        </w:rPr>
      </w:pPr>
      <w:r>
        <w:rPr>
          <w:noProof/>
        </w:rPr>
        <w:t>Taking all above into consideration, this policy option was discarded.</w:t>
      </w:r>
    </w:p>
    <w:p w14:paraId="7A5122E9" w14:textId="05D397CD" w:rsidR="00263CF3" w:rsidRPr="00263CF3" w:rsidRDefault="00263CF3" w:rsidP="00263CF3">
      <w:pPr>
        <w:pStyle w:val="ListParagraph"/>
        <w:numPr>
          <w:ilvl w:val="0"/>
          <w:numId w:val="9"/>
        </w:numPr>
        <w:rPr>
          <w:b/>
          <w:bCs/>
          <w:noProof/>
        </w:rPr>
      </w:pPr>
      <w:r w:rsidRPr="00263CF3">
        <w:rPr>
          <w:b/>
          <w:bCs/>
          <w:noProof/>
        </w:rPr>
        <w:t>Simplified insolvency procedure</w:t>
      </w:r>
    </w:p>
    <w:p w14:paraId="138AA97B" w14:textId="296D3999" w:rsidR="00263CF3" w:rsidRDefault="00263CF3" w:rsidP="00263CF3">
      <w:pPr>
        <w:rPr>
          <w:noProof/>
        </w:rPr>
      </w:pPr>
      <w:r w:rsidRPr="00263CF3">
        <w:rPr>
          <w:noProof/>
        </w:rPr>
        <w:t>Measures simplifying an insolvency proceeding such as removing the mandatory legal representation, obligation for filing an insolvency petition and introducing a time limit of 6 months for the competent authority to deal with the insolvency, could apply only in case of simple non-complex insolvency proceeding</w:t>
      </w:r>
      <w:r w:rsidR="002B6D93">
        <w:rPr>
          <w:noProof/>
        </w:rPr>
        <w:t>s</w:t>
      </w:r>
      <w:r w:rsidRPr="00263CF3">
        <w:rPr>
          <w:noProof/>
        </w:rPr>
        <w:t xml:space="preserve">. Legal certainty and foreseeability impose the application of procedural safeguards such as the involvement of a lawyer in cases where there is high legal or financial complexity. For this reason, such simplified procedures would have to be limited to micro-enterprises as the insolvency proceedings of such companies are not complex due to the simplicity of their estate. However, in the case of 28th regime companies, the size might not be indicative of the complexity of the insolvency procedure. Even start-ups, as a micro-enterprise, might have a complex portfolio composed from e.g. patents, specialised machinery, or an innovative production line which make the insolvency proceedings complicated and the involvement of a legal professional necessary given possible issues related to tech law, IP law, data protection law or even environmental law. This would also have an impact on the duration of the proceedings. Therefore, a simplified insolvency procedure would be incompatible with the innovative nature of 28th regime companies and </w:t>
      </w:r>
      <w:r w:rsidR="00B9277E">
        <w:rPr>
          <w:noProof/>
        </w:rPr>
        <w:t>was</w:t>
      </w:r>
      <w:r w:rsidRPr="00263CF3">
        <w:rPr>
          <w:noProof/>
        </w:rPr>
        <w:t xml:space="preserve"> discarded as an option.     </w:t>
      </w:r>
    </w:p>
    <w:p w14:paraId="044E47FD" w14:textId="77777777" w:rsidR="0025343D" w:rsidRDefault="0025343D">
      <w:pPr>
        <w:spacing w:after="200" w:line="276" w:lineRule="auto"/>
        <w:jc w:val="left"/>
        <w:rPr>
          <w:noProof/>
        </w:rPr>
      </w:pPr>
      <w:r>
        <w:rPr>
          <w:noProof/>
        </w:rPr>
        <w:br w:type="page"/>
      </w:r>
    </w:p>
    <w:p w14:paraId="1DBC714F" w14:textId="16F2414D" w:rsidR="00004441" w:rsidRPr="007073AD" w:rsidRDefault="00004441" w:rsidP="00004441">
      <w:pPr>
        <w:pStyle w:val="AnnexTitle"/>
        <w:rPr>
          <w:noProof/>
          <w:lang w:val="en-IE"/>
        </w:rPr>
      </w:pPr>
      <w:bookmarkStart w:id="36" w:name="_Toc219390733"/>
      <w:r w:rsidRPr="007073AD">
        <w:rPr>
          <w:noProof/>
          <w:lang w:val="en-IE"/>
        </w:rPr>
        <w:t xml:space="preserve">Annex </w:t>
      </w:r>
      <w:r w:rsidR="003049B6" w:rsidRPr="007073AD">
        <w:rPr>
          <w:noProof/>
          <w:lang w:val="en-IE"/>
        </w:rPr>
        <w:t>10</w:t>
      </w:r>
      <w:r w:rsidRPr="007073AD">
        <w:rPr>
          <w:noProof/>
          <w:lang w:val="en-IE"/>
        </w:rPr>
        <w:t xml:space="preserve">: </w:t>
      </w:r>
      <w:r w:rsidR="00DC6C99" w:rsidRPr="00F76DD6">
        <w:rPr>
          <w:noProof/>
          <w:lang w:val="en-IE"/>
        </w:rPr>
        <w:t>EU rules in other policy areas related to this initiative</w:t>
      </w:r>
      <w:bookmarkEnd w:id="36"/>
    </w:p>
    <w:p w14:paraId="3F7EE39D" w14:textId="77777777" w:rsidR="009B74E8" w:rsidRPr="007073AD" w:rsidRDefault="009B74E8" w:rsidP="009B74E8">
      <w:pPr>
        <w:rPr>
          <w:noProof/>
        </w:rPr>
      </w:pPr>
      <w:r w:rsidRPr="007073AD">
        <w:rPr>
          <w:noProof/>
        </w:rPr>
        <w:t>Overall, the 28</w:t>
      </w:r>
      <w:r w:rsidRPr="007073AD">
        <w:rPr>
          <w:noProof/>
          <w:vertAlign w:val="superscript"/>
        </w:rPr>
        <w:t>th</w:t>
      </w:r>
      <w:r w:rsidRPr="007073AD">
        <w:rPr>
          <w:noProof/>
        </w:rPr>
        <w:t xml:space="preserve"> regime EU corporate legal framework follows and is coherent with the objectives of the </w:t>
      </w:r>
      <w:r w:rsidRPr="007073AD">
        <w:rPr>
          <w:b/>
          <w:noProof/>
        </w:rPr>
        <w:t>Competitiveness Compass</w:t>
      </w:r>
      <w:r w:rsidRPr="007073AD">
        <w:rPr>
          <w:noProof/>
        </w:rPr>
        <w:t xml:space="preserve"> to make it possible for innovative companies to benefit from a single, harmonised set of EU-wide rules wherever they invest and operate in the Single Market, and directly responds to the announcement of an EU corporate legal framework in the </w:t>
      </w:r>
      <w:r w:rsidRPr="007073AD">
        <w:rPr>
          <w:b/>
          <w:noProof/>
        </w:rPr>
        <w:t>Single Market and the Start-up and scale-up Strategies</w:t>
      </w:r>
      <w:r w:rsidRPr="007073AD">
        <w:rPr>
          <w:noProof/>
        </w:rPr>
        <w:t>.</w:t>
      </w:r>
    </w:p>
    <w:p w14:paraId="01EEE644" w14:textId="666B502A" w:rsidR="009B74E8" w:rsidRPr="007073AD" w:rsidRDefault="009B74E8" w:rsidP="009B74E8">
      <w:pPr>
        <w:rPr>
          <w:noProof/>
        </w:rPr>
      </w:pPr>
      <w:r w:rsidRPr="007073AD">
        <w:rPr>
          <w:noProof/>
        </w:rPr>
        <w:t>The 28</w:t>
      </w:r>
      <w:r w:rsidRPr="007073AD">
        <w:rPr>
          <w:noProof/>
          <w:vertAlign w:val="superscript"/>
        </w:rPr>
        <w:t>th</w:t>
      </w:r>
      <w:r w:rsidRPr="007073AD">
        <w:rPr>
          <w:noProof/>
        </w:rPr>
        <w:t xml:space="preserve"> regime EU corporate legal framework shares the aim of helping start-ups and scale-ups with the </w:t>
      </w:r>
      <w:r>
        <w:rPr>
          <w:noProof/>
        </w:rPr>
        <w:t xml:space="preserve">forthcoming proposal for the </w:t>
      </w:r>
      <w:r w:rsidR="004110E0" w:rsidRPr="007073AD">
        <w:rPr>
          <w:b/>
          <w:noProof/>
        </w:rPr>
        <w:t>European Innovation Act</w:t>
      </w:r>
      <w:r w:rsidR="004110E0" w:rsidRPr="007073AD">
        <w:rPr>
          <w:noProof/>
        </w:rPr>
        <w:t xml:space="preserve"> (EIA), which </w:t>
      </w:r>
      <w:r w:rsidRPr="007073AD">
        <w:rPr>
          <w:noProof/>
        </w:rPr>
        <w:t>was announced by the Competitiveness Compass as one of the policies, alongside the 28</w:t>
      </w:r>
      <w:r w:rsidRPr="007073AD">
        <w:rPr>
          <w:noProof/>
          <w:vertAlign w:val="superscript"/>
        </w:rPr>
        <w:t>th</w:t>
      </w:r>
      <w:r w:rsidRPr="007073AD">
        <w:rPr>
          <w:noProof/>
        </w:rPr>
        <w:t xml:space="preserve"> regime, to close the innovation gap. However, both initiatives focus on different issues of importance for the start-up community. As regards the EIA, the Start-up and scale-up Strategy specified that the EIA would promote the access of innovative companies to European research and technology infrastructures, promote regulatory sandboxes to allow innovators to develop and test new ideas, reinforce coordination among Member States of innovation policies and programmes, and seek ways to increase total investments in public and private innovation procurement across Europe complementing the policy developments related to the EU public procurement directives.</w:t>
      </w:r>
    </w:p>
    <w:p w14:paraId="45046537" w14:textId="79F06C06" w:rsidR="009B74E8" w:rsidRPr="007073AD" w:rsidRDefault="009B74E8" w:rsidP="009B74E8">
      <w:pPr>
        <w:rPr>
          <w:noProof/>
        </w:rPr>
      </w:pPr>
      <w:r w:rsidRPr="249B2C69">
        <w:rPr>
          <w:noProof/>
          <w:lang w:val="en-IE"/>
        </w:rPr>
        <w:t xml:space="preserve">With its measures to create an enabling framework to invest, the 28th regime corporate legal framework is also closely linked with the Commission initiatives under the </w:t>
      </w:r>
      <w:r w:rsidRPr="249B2C69">
        <w:rPr>
          <w:b/>
          <w:noProof/>
          <w:lang w:val="en-IE"/>
        </w:rPr>
        <w:t>Savings and Investments Union</w:t>
      </w:r>
      <w:r w:rsidRPr="249B2C69">
        <w:rPr>
          <w:noProof/>
          <w:lang w:val="en-IE"/>
        </w:rPr>
        <w:t xml:space="preserve">, which is a key strategy to improve the way the EU financial system channels savings to productive investments. Under the Savings and Investment Union, several initiatives for improving European businesses’ access to funding have already been published in 2025, e.g. the </w:t>
      </w:r>
      <w:r w:rsidRPr="249B2C69">
        <w:rPr>
          <w:b/>
          <w:noProof/>
          <w:lang w:val="en-IE"/>
        </w:rPr>
        <w:t>Market Integration Package</w:t>
      </w:r>
      <w:r w:rsidRPr="249B2C69">
        <w:rPr>
          <w:noProof/>
          <w:lang w:val="en-IE"/>
        </w:rPr>
        <w:t xml:space="preserve"> adopted on 4 December 2025, </w:t>
      </w:r>
      <w:r w:rsidR="00F25E5A" w:rsidRPr="249B2C69">
        <w:rPr>
          <w:noProof/>
          <w:lang w:val="en-IE"/>
        </w:rPr>
        <w:t>and further proposals are</w:t>
      </w:r>
      <w:r w:rsidRPr="249B2C69">
        <w:rPr>
          <w:noProof/>
          <w:lang w:val="en-IE"/>
        </w:rPr>
        <w:t xml:space="preserve"> announced for 2026</w:t>
      </w:r>
      <w:r w:rsidR="001D3E1F" w:rsidRPr="249B2C69">
        <w:rPr>
          <w:noProof/>
          <w:lang w:val="en-IE"/>
        </w:rPr>
        <w:t xml:space="preserve">, </w:t>
      </w:r>
      <w:r w:rsidR="00F25E5A" w:rsidRPr="249B2C69">
        <w:rPr>
          <w:noProof/>
          <w:lang w:val="en-IE"/>
        </w:rPr>
        <w:t xml:space="preserve">including on </w:t>
      </w:r>
      <w:r w:rsidR="00F25E5A" w:rsidRPr="249B2C69">
        <w:rPr>
          <w:rFonts w:eastAsia="Aptos"/>
          <w:noProof/>
          <w:lang w:val="en-IE"/>
        </w:rPr>
        <w:t xml:space="preserve">EU venture and growth capital funds reform and </w:t>
      </w:r>
      <w:r w:rsidR="00F25E5A" w:rsidRPr="249B2C69">
        <w:rPr>
          <w:rFonts w:eastAsia="Times New Roman"/>
          <w:noProof/>
          <w:lang w:val="en-IE"/>
        </w:rPr>
        <w:t>measures to support exits by investors in private companies</w:t>
      </w:r>
      <w:r w:rsidRPr="249B2C69">
        <w:rPr>
          <w:noProof/>
          <w:lang w:val="en-IE"/>
        </w:rPr>
        <w:t xml:space="preserve">. </w:t>
      </w:r>
    </w:p>
    <w:p w14:paraId="54ABD6C2" w14:textId="77777777" w:rsidR="009B74E8" w:rsidRPr="007073AD" w:rsidRDefault="009B74E8" w:rsidP="009B74E8">
      <w:pPr>
        <w:rPr>
          <w:noProof/>
        </w:rPr>
      </w:pPr>
      <w:r w:rsidRPr="007073AD">
        <w:rPr>
          <w:noProof/>
        </w:rPr>
        <w:t xml:space="preserve">With regards to </w:t>
      </w:r>
      <w:r w:rsidRPr="007073AD">
        <w:rPr>
          <w:b/>
          <w:noProof/>
        </w:rPr>
        <w:t>digitalisation</w:t>
      </w:r>
      <w:r w:rsidRPr="007073AD">
        <w:rPr>
          <w:noProof/>
        </w:rPr>
        <w:t xml:space="preserve">, while digitalisation of company law procedures for 28th regime companies will build on company law tools, such as the Business Registers Interconnection System (BRIS) and the European Unique Identifier (EUID), which already allow for a “once-only” exchange of company information between business registers, the initiative will be complementary with the other existing (or currently developed) digital tools at EU level. </w:t>
      </w:r>
    </w:p>
    <w:p w14:paraId="5F5AB0E8" w14:textId="3B935760" w:rsidR="009B74E8" w:rsidRPr="007073AD" w:rsidRDefault="009B74E8" w:rsidP="009B74E8">
      <w:pPr>
        <w:rPr>
          <w:noProof/>
        </w:rPr>
      </w:pPr>
      <w:r w:rsidRPr="249B2C69">
        <w:rPr>
          <w:b/>
          <w:noProof/>
          <w:lang w:val="en-IE"/>
        </w:rPr>
        <w:t>Regulation</w:t>
      </w:r>
      <w:r w:rsidRPr="249B2C69">
        <w:rPr>
          <w:noProof/>
          <w:lang w:val="en-IE"/>
        </w:rPr>
        <w:t xml:space="preserve"> (EU) No 910/2014</w:t>
      </w:r>
      <w:r w:rsidR="00A111B2" w:rsidRPr="249B2C69">
        <w:rPr>
          <w:noProof/>
          <w:lang w:val="en-IE"/>
        </w:rPr>
        <w:t xml:space="preserve"> (eIDAS)</w:t>
      </w:r>
      <w:r w:rsidRPr="249B2C69">
        <w:rPr>
          <w:noProof/>
          <w:lang w:val="en-IE"/>
        </w:rPr>
        <w:t xml:space="preserve">, amended by Regulation (EU) 2024/1183, establishes the European Digital Identity Framework including the </w:t>
      </w:r>
      <w:r w:rsidRPr="249B2C69">
        <w:rPr>
          <w:b/>
          <w:noProof/>
          <w:lang w:val="en-IE"/>
        </w:rPr>
        <w:t>European Digital Identity Wallet</w:t>
      </w:r>
      <w:r w:rsidRPr="249B2C69">
        <w:rPr>
          <w:noProof/>
          <w:lang w:val="en-IE"/>
        </w:rPr>
        <w:t xml:space="preserve"> (EUDIW). It provides an interoperable system for digital identification and serves as the legal reference for electronic identification in the Union. It allows users to securely store, manage and validate their personal identification data and electronic attestations of attributes. The </w:t>
      </w:r>
      <w:r w:rsidR="00121767" w:rsidRPr="249B2C69">
        <w:rPr>
          <w:noProof/>
          <w:lang w:val="en-IE"/>
        </w:rPr>
        <w:t xml:space="preserve">European Digital Identity </w:t>
      </w:r>
      <w:r w:rsidR="003A17AA" w:rsidRPr="249B2C69">
        <w:rPr>
          <w:noProof/>
          <w:lang w:val="en-IE"/>
        </w:rPr>
        <w:t>F</w:t>
      </w:r>
      <w:r w:rsidRPr="249B2C69">
        <w:rPr>
          <w:noProof/>
          <w:lang w:val="en-IE"/>
        </w:rPr>
        <w:t xml:space="preserve">ramework and EU company law are complementary as the EU company law relies on the </w:t>
      </w:r>
      <w:r w:rsidR="006E6553" w:rsidRPr="249B2C69">
        <w:rPr>
          <w:noProof/>
          <w:lang w:val="en-IE"/>
        </w:rPr>
        <w:t xml:space="preserve">European Digital Identity </w:t>
      </w:r>
      <w:r w:rsidR="005007EE" w:rsidRPr="249B2C69">
        <w:rPr>
          <w:noProof/>
          <w:lang w:val="en-IE"/>
        </w:rPr>
        <w:t>F</w:t>
      </w:r>
      <w:r w:rsidRPr="249B2C69">
        <w:rPr>
          <w:noProof/>
          <w:lang w:val="en-IE"/>
        </w:rPr>
        <w:t xml:space="preserve">ramework for the identification of company founders and directors as well as investors, which is a prerequisite for reliable and secure online procedures. The 2019 Digitalisation Directive and the 2025 Upgrading Digital Company Law Directive both refer to Regulation </w:t>
      </w:r>
      <w:r w:rsidR="00BD50C7" w:rsidRPr="249B2C69">
        <w:rPr>
          <w:noProof/>
          <w:lang w:val="en-IE"/>
        </w:rPr>
        <w:t xml:space="preserve">(EU) 910/2014 for electronic </w:t>
      </w:r>
      <w:r w:rsidRPr="249B2C69">
        <w:rPr>
          <w:noProof/>
          <w:lang w:val="en-IE"/>
        </w:rPr>
        <w:t xml:space="preserve">identification and trust services in company law procedures. The latter updates the identification requirements to explicitly ensure that Member States allow the use of the EUDIW for online EU company law procedures and ensures compatibility between the EU Company Certificate and the EU digital power of attorney with the EUDIW. In a similar, way the new digital procedures under the 28th regime corporate legal framework are envisaged to rely on the use of e-identification including the European Digital Identity Wallets and trust services. </w:t>
      </w:r>
    </w:p>
    <w:p w14:paraId="3541ABB8" w14:textId="12D08197" w:rsidR="009B74E8" w:rsidRPr="007073AD" w:rsidRDefault="009B74E8" w:rsidP="009B74E8">
      <w:pPr>
        <w:rPr>
          <w:noProof/>
        </w:rPr>
      </w:pPr>
      <w:r w:rsidRPr="249B2C69">
        <w:rPr>
          <w:noProof/>
          <w:lang w:val="en-IE"/>
        </w:rPr>
        <w:t xml:space="preserve">The recent Commission proposal for a Regulation on the establishment of European Business Wallet builds on, and extends, the </w:t>
      </w:r>
      <w:r w:rsidR="00BD50C7" w:rsidRPr="249B2C69">
        <w:rPr>
          <w:noProof/>
          <w:lang w:val="en-IE"/>
        </w:rPr>
        <w:t xml:space="preserve">European </w:t>
      </w:r>
      <w:r w:rsidR="006E4F56" w:rsidRPr="249B2C69">
        <w:rPr>
          <w:noProof/>
          <w:lang w:val="en-IE"/>
        </w:rPr>
        <w:t>Digital Identity</w:t>
      </w:r>
      <w:r w:rsidR="00BD50C7" w:rsidRPr="249B2C69">
        <w:rPr>
          <w:noProof/>
          <w:lang w:val="en-IE"/>
        </w:rPr>
        <w:t xml:space="preserve"> </w:t>
      </w:r>
      <w:r w:rsidRPr="249B2C69">
        <w:rPr>
          <w:noProof/>
          <w:lang w:val="en-IE"/>
        </w:rPr>
        <w:t>framework</w:t>
      </w:r>
      <w:r w:rsidRPr="249B2C69">
        <w:rPr>
          <w:rStyle w:val="FootnoteReference"/>
          <w:noProof/>
          <w:lang w:val="en-IE"/>
        </w:rPr>
        <w:footnoteReference w:id="20"/>
      </w:r>
      <w:r w:rsidRPr="249B2C69">
        <w:rPr>
          <w:noProof/>
          <w:lang w:val="en-IE"/>
        </w:rPr>
        <w:t>, introducing the E</w:t>
      </w:r>
      <w:r w:rsidR="006E4F56" w:rsidRPr="249B2C69">
        <w:rPr>
          <w:noProof/>
          <w:lang w:val="en-IE"/>
        </w:rPr>
        <w:t>uropean</w:t>
      </w:r>
      <w:r w:rsidRPr="249B2C69">
        <w:rPr>
          <w:noProof/>
          <w:lang w:val="en-IE"/>
        </w:rPr>
        <w:t xml:space="preserve"> Business Wallet, which aims to provide </w:t>
      </w:r>
      <w:r w:rsidR="006366E1" w:rsidRPr="249B2C69">
        <w:rPr>
          <w:rFonts w:eastAsia="Times New Roman"/>
          <w:noProof/>
          <w:lang w:val="en-IE"/>
        </w:rPr>
        <w:t>electronic identification means for all companies</w:t>
      </w:r>
      <w:r w:rsidR="0036388B" w:rsidRPr="249B2C69">
        <w:rPr>
          <w:rFonts w:eastAsia="Times New Roman"/>
          <w:noProof/>
          <w:lang w:val="en-IE"/>
        </w:rPr>
        <w:t xml:space="preserve"> –</w:t>
      </w:r>
      <w:r w:rsidR="006366E1" w:rsidRPr="249B2C69">
        <w:rPr>
          <w:rFonts w:eastAsia="Times New Roman"/>
          <w:noProof/>
          <w:lang w:val="en-IE"/>
        </w:rPr>
        <w:t xml:space="preserve"> allow</w:t>
      </w:r>
      <w:r w:rsidR="00473FC3" w:rsidRPr="249B2C69">
        <w:rPr>
          <w:rFonts w:eastAsia="Times New Roman"/>
          <w:noProof/>
          <w:lang w:val="en-IE"/>
        </w:rPr>
        <w:t>ing</w:t>
      </w:r>
      <w:r w:rsidR="006366E1" w:rsidRPr="249B2C69">
        <w:rPr>
          <w:rFonts w:eastAsia="Times New Roman"/>
          <w:noProof/>
          <w:lang w:val="en-IE"/>
        </w:rPr>
        <w:t xml:space="preserve"> them to store, share and seal documents</w:t>
      </w:r>
      <w:r w:rsidR="004102FD" w:rsidRPr="249B2C69">
        <w:rPr>
          <w:rFonts w:eastAsia="Times New Roman"/>
          <w:noProof/>
          <w:lang w:val="en-IE"/>
        </w:rPr>
        <w:t xml:space="preserve"> –</w:t>
      </w:r>
      <w:r w:rsidR="00FF15AE" w:rsidRPr="249B2C69">
        <w:rPr>
          <w:rFonts w:eastAsia="Times New Roman"/>
          <w:noProof/>
          <w:lang w:val="en-IE"/>
        </w:rPr>
        <w:t xml:space="preserve"> and to</w:t>
      </w:r>
      <w:r w:rsidR="006366E1" w:rsidRPr="249B2C69">
        <w:rPr>
          <w:rFonts w:eastAsia="Times New Roman"/>
          <w:noProof/>
          <w:lang w:val="en-IE"/>
        </w:rPr>
        <w:t xml:space="preserve"> provide a secure communication channel that facilitates communication between economic operators (B2B) and with public sector bodies (B2G), supporting the operation of companies willing to purchase it.</w:t>
      </w:r>
      <w:r w:rsidRPr="249B2C69">
        <w:rPr>
          <w:noProof/>
          <w:lang w:val="en-IE"/>
        </w:rPr>
        <w:t xml:space="preserve"> The proposal on the E</w:t>
      </w:r>
      <w:r w:rsidR="006E4F56" w:rsidRPr="249B2C69">
        <w:rPr>
          <w:noProof/>
          <w:lang w:val="en-IE"/>
        </w:rPr>
        <w:t>uropean</w:t>
      </w:r>
      <w:r w:rsidRPr="249B2C69">
        <w:rPr>
          <w:noProof/>
          <w:lang w:val="en-IE"/>
        </w:rPr>
        <w:t xml:space="preserve"> Business Wallet</w:t>
      </w:r>
      <w:r w:rsidRPr="249B2C69" w:rsidDel="00FE4919">
        <w:rPr>
          <w:noProof/>
          <w:lang w:val="en-IE"/>
        </w:rPr>
        <w:t xml:space="preserve"> </w:t>
      </w:r>
      <w:r w:rsidRPr="249B2C69">
        <w:rPr>
          <w:noProof/>
          <w:lang w:val="en-IE"/>
        </w:rPr>
        <w:t xml:space="preserve">and the EU company law are also coherent. The Business Wallet </w:t>
      </w:r>
      <w:r w:rsidR="002550D3" w:rsidRPr="249B2C69">
        <w:rPr>
          <w:noProof/>
          <w:lang w:val="en-IE"/>
        </w:rPr>
        <w:t>will use</w:t>
      </w:r>
      <w:r w:rsidRPr="249B2C69">
        <w:rPr>
          <w:noProof/>
          <w:lang w:val="en-IE"/>
        </w:rPr>
        <w:t xml:space="preserve"> the EUID, the unique company identifier under EU company law, </w:t>
      </w:r>
      <w:r w:rsidR="00943BC4" w:rsidRPr="249B2C69">
        <w:rPr>
          <w:noProof/>
          <w:lang w:val="en-IE"/>
        </w:rPr>
        <w:t xml:space="preserve">to uniquely identify </w:t>
      </w:r>
      <w:r w:rsidRPr="249B2C69">
        <w:rPr>
          <w:noProof/>
          <w:lang w:val="en-IE"/>
        </w:rPr>
        <w:t xml:space="preserve">companies, allowing to link the </w:t>
      </w:r>
      <w:r w:rsidR="00B24033" w:rsidRPr="249B2C69">
        <w:rPr>
          <w:noProof/>
          <w:lang w:val="en-IE"/>
        </w:rPr>
        <w:t xml:space="preserve">European </w:t>
      </w:r>
      <w:r w:rsidRPr="249B2C69">
        <w:rPr>
          <w:noProof/>
          <w:lang w:val="en-IE"/>
        </w:rPr>
        <w:t>Business Wallet</w:t>
      </w:r>
      <w:r w:rsidR="00B24033" w:rsidRPr="249B2C69">
        <w:rPr>
          <w:noProof/>
          <w:lang w:val="en-IE"/>
        </w:rPr>
        <w:t>s</w:t>
      </w:r>
      <w:r w:rsidRPr="249B2C69">
        <w:rPr>
          <w:noProof/>
          <w:lang w:val="en-IE"/>
        </w:rPr>
        <w:t xml:space="preserve"> with the official, up to date and trustworthy company information in business registers. The 28</w:t>
      </w:r>
      <w:r w:rsidRPr="249B2C69">
        <w:rPr>
          <w:noProof/>
          <w:vertAlign w:val="superscript"/>
          <w:lang w:val="en-IE"/>
        </w:rPr>
        <w:t>th</w:t>
      </w:r>
      <w:r w:rsidRPr="249B2C69">
        <w:rPr>
          <w:noProof/>
          <w:lang w:val="en-IE"/>
        </w:rPr>
        <w:t xml:space="preserve"> regime corporate framework and the proposal for </w:t>
      </w:r>
      <w:r w:rsidR="00FF43E2" w:rsidRPr="249B2C69">
        <w:rPr>
          <w:noProof/>
          <w:lang w:val="en-IE"/>
        </w:rPr>
        <w:t xml:space="preserve">the European </w:t>
      </w:r>
      <w:r w:rsidRPr="249B2C69">
        <w:rPr>
          <w:noProof/>
          <w:lang w:val="en-IE"/>
        </w:rPr>
        <w:t>Business Wallet</w:t>
      </w:r>
      <w:r w:rsidR="00FF43E2" w:rsidRPr="249B2C69">
        <w:rPr>
          <w:noProof/>
          <w:lang w:val="en-IE"/>
        </w:rPr>
        <w:t>s</w:t>
      </w:r>
      <w:r w:rsidRPr="249B2C69">
        <w:rPr>
          <w:noProof/>
          <w:lang w:val="en-IE"/>
        </w:rPr>
        <w:t xml:space="preserve"> will also be complementary. The proposal for a 28</w:t>
      </w:r>
      <w:r w:rsidRPr="249B2C69">
        <w:rPr>
          <w:noProof/>
          <w:vertAlign w:val="superscript"/>
          <w:lang w:val="en-IE"/>
        </w:rPr>
        <w:t>th</w:t>
      </w:r>
      <w:r w:rsidRPr="249B2C69">
        <w:rPr>
          <w:noProof/>
          <w:lang w:val="en-IE"/>
        </w:rPr>
        <w:t xml:space="preserve"> regime corporate legal framework will include the existing digital tools such as the EUID, EU Company Certificate and EU Power of Attorney and will aim to make those compatible with the </w:t>
      </w:r>
      <w:r w:rsidR="009D2C38" w:rsidRPr="249B2C69">
        <w:rPr>
          <w:noProof/>
          <w:lang w:val="en-IE"/>
        </w:rPr>
        <w:t xml:space="preserve">European </w:t>
      </w:r>
      <w:r w:rsidRPr="249B2C69">
        <w:rPr>
          <w:noProof/>
          <w:lang w:val="en-IE"/>
        </w:rPr>
        <w:t>Business Wallet</w:t>
      </w:r>
      <w:r w:rsidR="001F137F" w:rsidRPr="249B2C69">
        <w:rPr>
          <w:noProof/>
          <w:lang w:val="en-IE"/>
        </w:rPr>
        <w:t>s</w:t>
      </w:r>
      <w:r w:rsidRPr="249B2C69">
        <w:rPr>
          <w:noProof/>
          <w:lang w:val="en-IE"/>
        </w:rPr>
        <w:t xml:space="preserve">. </w:t>
      </w:r>
    </w:p>
    <w:p w14:paraId="336579DA" w14:textId="77777777" w:rsidR="009B74E8" w:rsidRPr="007073AD" w:rsidRDefault="009B74E8" w:rsidP="009B74E8">
      <w:pPr>
        <w:rPr>
          <w:noProof/>
        </w:rPr>
      </w:pPr>
      <w:r w:rsidRPr="249B2C69">
        <w:rPr>
          <w:noProof/>
          <w:lang w:val="en-IE"/>
        </w:rPr>
        <w:t xml:space="preserve">The </w:t>
      </w:r>
      <w:r w:rsidRPr="249B2C69">
        <w:rPr>
          <w:b/>
          <w:noProof/>
          <w:lang w:val="en-IE"/>
        </w:rPr>
        <w:t>Single Digital Gateway</w:t>
      </w:r>
      <w:r w:rsidRPr="249B2C69">
        <w:rPr>
          <w:noProof/>
          <w:lang w:val="en-IE"/>
        </w:rPr>
        <w:t xml:space="preserve"> (SDG) facilitates online access to information, administrative procedures and assistance services across the EU; it is </w:t>
      </w:r>
      <w:r w:rsidRPr="249B2C69">
        <w:rPr>
          <w:i/>
          <w:noProof/>
          <w:lang w:val="en-IE"/>
        </w:rPr>
        <w:t>lex generalis</w:t>
      </w:r>
      <w:r w:rsidRPr="249B2C69">
        <w:rPr>
          <w:noProof/>
          <w:lang w:val="en-IE"/>
        </w:rPr>
        <w:t xml:space="preserve"> and covers general principles and a wide range of administrative procedures defined in the Single Digital Gateway Regulation. There is a clear distinction between the scope of the SDG</w:t>
      </w:r>
      <w:r w:rsidRPr="249B2C69" w:rsidDel="003C719C">
        <w:rPr>
          <w:noProof/>
          <w:lang w:val="en-IE"/>
        </w:rPr>
        <w:t xml:space="preserve"> </w:t>
      </w:r>
      <w:r w:rsidRPr="249B2C69">
        <w:rPr>
          <w:noProof/>
          <w:lang w:val="en-IE"/>
        </w:rPr>
        <w:t xml:space="preserve">and EU company law, which is </w:t>
      </w:r>
      <w:r w:rsidRPr="249B2C69">
        <w:rPr>
          <w:i/>
          <w:noProof/>
          <w:lang w:val="en-IE"/>
        </w:rPr>
        <w:t>lex specialis</w:t>
      </w:r>
      <w:r w:rsidRPr="249B2C69">
        <w:rPr>
          <w:noProof/>
          <w:lang w:val="en-IE"/>
        </w:rPr>
        <w:t xml:space="preserve"> and covers company law procedures and company data in the business registers,</w:t>
      </w:r>
      <w:r w:rsidRPr="249B2C69" w:rsidDel="0021742E">
        <w:rPr>
          <w:noProof/>
          <w:lang w:val="en-IE"/>
        </w:rPr>
        <w:t xml:space="preserve"> </w:t>
      </w:r>
      <w:r w:rsidRPr="249B2C69">
        <w:rPr>
          <w:noProof/>
          <w:lang w:val="en-IE"/>
        </w:rPr>
        <w:t>whereby</w:t>
      </w:r>
      <w:r w:rsidRPr="249B2C69" w:rsidDel="00BF435D">
        <w:rPr>
          <w:noProof/>
          <w:lang w:val="en-IE"/>
        </w:rPr>
        <w:t xml:space="preserve"> </w:t>
      </w:r>
      <w:r w:rsidRPr="249B2C69">
        <w:rPr>
          <w:noProof/>
          <w:lang w:val="en-IE"/>
        </w:rPr>
        <w:t>company law procedures (such as formation of a company, filing by companies or firms within the meaning of Article 54 TFEU) are explicitly excluded from the scope of SDG. However, the 28</w:t>
      </w:r>
      <w:r w:rsidRPr="249B2C69">
        <w:rPr>
          <w:noProof/>
          <w:vertAlign w:val="superscript"/>
          <w:lang w:val="en-IE"/>
        </w:rPr>
        <w:t>th</w:t>
      </w:r>
      <w:r w:rsidRPr="249B2C69">
        <w:rPr>
          <w:noProof/>
          <w:lang w:val="en-IE"/>
        </w:rPr>
        <w:t xml:space="preserve"> regime companies – as any other companies –</w:t>
      </w:r>
      <w:r w:rsidRPr="249B2C69" w:rsidDel="0064062C">
        <w:rPr>
          <w:noProof/>
          <w:lang w:val="en-IE"/>
        </w:rPr>
        <w:t xml:space="preserve"> </w:t>
      </w:r>
      <w:r w:rsidRPr="249B2C69">
        <w:rPr>
          <w:noProof/>
          <w:lang w:val="en-IE"/>
        </w:rPr>
        <w:t xml:space="preserve">will be able to benefit from the SDG in areas already covered by it. </w:t>
      </w:r>
    </w:p>
    <w:p w14:paraId="57006906" w14:textId="77777777" w:rsidR="009B74E8" w:rsidRDefault="009B74E8" w:rsidP="009B74E8">
      <w:pPr>
        <w:rPr>
          <w:noProof/>
        </w:rPr>
      </w:pPr>
      <w:r>
        <w:rPr>
          <w:noProof/>
        </w:rPr>
        <w:t>As regards i</w:t>
      </w:r>
      <w:r w:rsidRPr="00284066">
        <w:rPr>
          <w:noProof/>
        </w:rPr>
        <w:t xml:space="preserve">nteroperability </w:t>
      </w:r>
      <w:r>
        <w:rPr>
          <w:noProof/>
        </w:rPr>
        <w:t xml:space="preserve">between such EU digital tools </w:t>
      </w:r>
      <w:r w:rsidRPr="00284066">
        <w:rPr>
          <w:noProof/>
        </w:rPr>
        <w:t>in general</w:t>
      </w:r>
      <w:r>
        <w:rPr>
          <w:noProof/>
        </w:rPr>
        <w:t xml:space="preserve">, the Upgrading digital company law Directive (EU) 2025/25 </w:t>
      </w:r>
      <w:r w:rsidRPr="00FB7F7A">
        <w:rPr>
          <w:noProof/>
        </w:rPr>
        <w:t xml:space="preserve">contains a review clause </w:t>
      </w:r>
      <w:r>
        <w:rPr>
          <w:noProof/>
        </w:rPr>
        <w:t>whereby the Commission should assess t</w:t>
      </w:r>
      <w:r w:rsidRPr="00765353">
        <w:rPr>
          <w:noProof/>
        </w:rPr>
        <w:t xml:space="preserve">he potential for </w:t>
      </w:r>
      <w:r w:rsidRPr="00FB7F7A">
        <w:rPr>
          <w:b/>
          <w:noProof/>
        </w:rPr>
        <w:t>cross-sector interoperability</w:t>
      </w:r>
      <w:r w:rsidRPr="00765353">
        <w:rPr>
          <w:noProof/>
        </w:rPr>
        <w:t xml:space="preserve"> between </w:t>
      </w:r>
      <w:r>
        <w:rPr>
          <w:noProof/>
        </w:rPr>
        <w:t>BRIS</w:t>
      </w:r>
      <w:r w:rsidRPr="00765353">
        <w:rPr>
          <w:noProof/>
        </w:rPr>
        <w:t xml:space="preserve"> and other systems providing mechanisms for cooperation between competent authoritie</w:t>
      </w:r>
      <w:r>
        <w:rPr>
          <w:noProof/>
        </w:rPr>
        <w:t>s</w:t>
      </w:r>
      <w:r w:rsidRPr="00A65236">
        <w:rPr>
          <w:noProof/>
        </w:rPr>
        <w:t>, such as in the areas of taxation or social security or the Once-only Technical System (O</w:t>
      </w:r>
      <w:r>
        <w:rPr>
          <w:noProof/>
        </w:rPr>
        <w:t>OTS</w:t>
      </w:r>
      <w:r w:rsidRPr="20CAFD99">
        <w:rPr>
          <w:noProof/>
        </w:rPr>
        <w:t>)</w:t>
      </w:r>
      <w:r w:rsidRPr="00A65236">
        <w:rPr>
          <w:noProof/>
        </w:rPr>
        <w:t xml:space="preserve">, </w:t>
      </w:r>
      <w:r>
        <w:rPr>
          <w:noProof/>
        </w:rPr>
        <w:t xml:space="preserve">in the evaluation report on this Directive by </w:t>
      </w:r>
      <w:r w:rsidRPr="006B6F21">
        <w:rPr>
          <w:noProof/>
        </w:rPr>
        <w:t>July 2032</w:t>
      </w:r>
      <w:r>
        <w:rPr>
          <w:noProof/>
        </w:rPr>
        <w:t xml:space="preserve">, </w:t>
      </w:r>
      <w:r w:rsidRPr="00A65236">
        <w:rPr>
          <w:noProof/>
        </w:rPr>
        <w:t>with the aim of creating more connected public administrations on a cross-border basis in the internal market.</w:t>
      </w:r>
      <w:r>
        <w:rPr>
          <w:noProof/>
        </w:rPr>
        <w:t xml:space="preserve"> This is also in line with the ongoing work to strengthen cross-border</w:t>
      </w:r>
      <w:r w:rsidRPr="0083250A">
        <w:rPr>
          <w:noProof/>
        </w:rPr>
        <w:t xml:space="preserve"> interoperabili</w:t>
      </w:r>
      <w:r>
        <w:rPr>
          <w:noProof/>
        </w:rPr>
        <w:t xml:space="preserve">ty and cooperation in the public sector across the </w:t>
      </w:r>
      <w:r w:rsidRPr="003A266F">
        <w:rPr>
          <w:noProof/>
        </w:rPr>
        <w:t>EU</w:t>
      </w:r>
      <w:r>
        <w:rPr>
          <w:noProof/>
        </w:rPr>
        <w:t>, including through R</w:t>
      </w:r>
      <w:r w:rsidRPr="003A266F">
        <w:rPr>
          <w:noProof/>
        </w:rPr>
        <w:t>egulation (EU) 2024/903</w:t>
      </w:r>
      <w:r>
        <w:rPr>
          <w:rStyle w:val="FootnoteReference"/>
          <w:noProof/>
        </w:rPr>
        <w:footnoteReference w:id="21"/>
      </w:r>
      <w:r>
        <w:rPr>
          <w:noProof/>
        </w:rPr>
        <w:t>.</w:t>
      </w:r>
      <w:r w:rsidRPr="003A266F">
        <w:rPr>
          <w:noProof/>
        </w:rPr>
        <w:t xml:space="preserve"> </w:t>
      </w:r>
    </w:p>
    <w:p w14:paraId="45C9FA4C" w14:textId="718AC31B" w:rsidR="009B74E8" w:rsidRPr="007073AD" w:rsidRDefault="009B74E8" w:rsidP="009B74E8">
      <w:pPr>
        <w:rPr>
          <w:noProof/>
        </w:rPr>
      </w:pPr>
      <w:r w:rsidRPr="007073AD">
        <w:rPr>
          <w:noProof/>
        </w:rPr>
        <w:t>T</w:t>
      </w:r>
      <w:r w:rsidRPr="00B25F51">
        <w:rPr>
          <w:noProof/>
        </w:rPr>
        <w:t xml:space="preserve">he </w:t>
      </w:r>
      <w:r>
        <w:rPr>
          <w:noProof/>
        </w:rPr>
        <w:t>28</w:t>
      </w:r>
      <w:r w:rsidRPr="000E0BD8">
        <w:rPr>
          <w:noProof/>
          <w:vertAlign w:val="superscript"/>
        </w:rPr>
        <w:t>th</w:t>
      </w:r>
      <w:r>
        <w:rPr>
          <w:noProof/>
        </w:rPr>
        <w:t xml:space="preserve"> regime corporate legal framework will also be coherent and complementary with the objectives of </w:t>
      </w:r>
      <w:r w:rsidRPr="00411F10">
        <w:rPr>
          <w:b/>
          <w:bCs/>
          <w:noProof/>
        </w:rPr>
        <w:t>EU taxation and anti-money money laundering legislation.</w:t>
      </w:r>
      <w:r>
        <w:rPr>
          <w:noProof/>
        </w:rPr>
        <w:t xml:space="preserve"> In particular, t</w:t>
      </w:r>
      <w:r w:rsidRPr="00411F10">
        <w:rPr>
          <w:noProof/>
        </w:rPr>
        <w:t>he exchange of information on 28</w:t>
      </w:r>
      <w:r w:rsidRPr="00411F10">
        <w:rPr>
          <w:noProof/>
          <w:vertAlign w:val="superscript"/>
        </w:rPr>
        <w:t>th</w:t>
      </w:r>
      <w:r w:rsidRPr="00411F10">
        <w:rPr>
          <w:noProof/>
        </w:rPr>
        <w:t xml:space="preserve"> regime companies between business registers and authorities in charge of issuing </w:t>
      </w:r>
      <w:r>
        <w:rPr>
          <w:noProof/>
        </w:rPr>
        <w:t xml:space="preserve">the tax identification number </w:t>
      </w:r>
      <w:r w:rsidRPr="00411F10">
        <w:rPr>
          <w:noProof/>
        </w:rPr>
        <w:t xml:space="preserve">TIN and </w:t>
      </w:r>
      <w:r>
        <w:rPr>
          <w:noProof/>
        </w:rPr>
        <w:t xml:space="preserve">the </w:t>
      </w:r>
      <w:r w:rsidRPr="00411F10">
        <w:rPr>
          <w:noProof/>
        </w:rPr>
        <w:t>VAT identification</w:t>
      </w:r>
      <w:r w:rsidR="006204DD">
        <w:rPr>
          <w:noProof/>
        </w:rPr>
        <w:t xml:space="preserve"> number</w:t>
      </w:r>
      <w:r>
        <w:rPr>
          <w:noProof/>
        </w:rPr>
        <w:t>, which</w:t>
      </w:r>
      <w:r w:rsidRPr="00411F10">
        <w:rPr>
          <w:noProof/>
        </w:rPr>
        <w:t xml:space="preserve"> </w:t>
      </w:r>
      <w:r>
        <w:rPr>
          <w:noProof/>
        </w:rPr>
        <w:t xml:space="preserve">will </w:t>
      </w:r>
      <w:r w:rsidRPr="00411F10">
        <w:rPr>
          <w:noProof/>
        </w:rPr>
        <w:t>ensure that the company information in the business registers, verified during mandatory preventive controls, can be automatically utilised to issue TIN and VAT identification numbers</w:t>
      </w:r>
      <w:r>
        <w:rPr>
          <w:noProof/>
        </w:rPr>
        <w:t xml:space="preserve">, </w:t>
      </w:r>
      <w:r w:rsidRPr="00D51598">
        <w:rPr>
          <w:noProof/>
        </w:rPr>
        <w:t xml:space="preserve">is coherent with the objectives of ensuring full </w:t>
      </w:r>
      <w:r>
        <w:rPr>
          <w:noProof/>
        </w:rPr>
        <w:t xml:space="preserve">and automated </w:t>
      </w:r>
      <w:r w:rsidRPr="00411F10">
        <w:rPr>
          <w:noProof/>
        </w:rPr>
        <w:t>identification of taxpayers in the Directive on Administrative Cooperation 2011/16/EU</w:t>
      </w:r>
      <w:r w:rsidRPr="00411F10">
        <w:rPr>
          <w:noProof/>
          <w:vertAlign w:val="superscript"/>
        </w:rPr>
        <w:t>34</w:t>
      </w:r>
      <w:r w:rsidRPr="00411F10">
        <w:rPr>
          <w:noProof/>
        </w:rPr>
        <w:t>.</w:t>
      </w:r>
    </w:p>
    <w:p w14:paraId="2DA2B38D" w14:textId="2027A220" w:rsidR="00D20FD1" w:rsidRPr="0053316B" w:rsidRDefault="009B74E8" w:rsidP="000E3086">
      <w:pPr>
        <w:rPr>
          <w:noProof/>
        </w:rPr>
      </w:pPr>
      <w:r w:rsidRPr="00411F10">
        <w:rPr>
          <w:bCs/>
          <w:noProof/>
        </w:rPr>
        <w:t xml:space="preserve">The </w:t>
      </w:r>
      <w:r w:rsidRPr="00411F10">
        <w:rPr>
          <w:b/>
          <w:noProof/>
        </w:rPr>
        <w:t xml:space="preserve">Anti-Money Laundering </w:t>
      </w:r>
      <w:r w:rsidRPr="00411F10">
        <w:rPr>
          <w:noProof/>
        </w:rPr>
        <w:t>(AML)</w:t>
      </w:r>
      <w:r w:rsidRPr="007073AD">
        <w:rPr>
          <w:noProof/>
        </w:rPr>
        <w:t xml:space="preserve"> legislation, the AMLD6 Directive (EU) 2024/1640 and the AML </w:t>
      </w:r>
      <w:r w:rsidRPr="00F71627">
        <w:rPr>
          <w:noProof/>
        </w:rPr>
        <w:t>Regulation (EU) 2024/1624</w:t>
      </w:r>
      <w:r w:rsidRPr="007073AD">
        <w:rPr>
          <w:noProof/>
        </w:rPr>
        <w:t xml:space="preserve"> play a key role in safeguarding the integrity of the Single Market and preventing the misuse of companies for illicit purposes, such as money laundering and terrorist financing and ensure that companies (and other entities) have accurate and current information on their beneficial ownership and that this beneficial ownership information is held in a central register in each Member State (such as a commercial or companies register) and is made available to competent authorities, obliged entities, and persons with a legitimate interest. Ensuring that the company information is transferred from the business register to </w:t>
      </w:r>
      <w:r w:rsidRPr="00B80066">
        <w:rPr>
          <w:noProof/>
        </w:rPr>
        <w:t>the beneficial ownership register</w:t>
      </w:r>
      <w:r>
        <w:rPr>
          <w:noProof/>
        </w:rPr>
        <w:t xml:space="preserve"> in the context of registration of a 28</w:t>
      </w:r>
      <w:r w:rsidRPr="001F2E4B">
        <w:rPr>
          <w:noProof/>
          <w:vertAlign w:val="superscript"/>
        </w:rPr>
        <w:t>th</w:t>
      </w:r>
      <w:r>
        <w:rPr>
          <w:noProof/>
        </w:rPr>
        <w:t xml:space="preserve"> regime company</w:t>
      </w:r>
      <w:r w:rsidR="00192CB0">
        <w:rPr>
          <w:noProof/>
        </w:rPr>
        <w:t xml:space="preserve"> </w:t>
      </w:r>
      <w:r>
        <w:rPr>
          <w:noProof/>
        </w:rPr>
        <w:t xml:space="preserve">would ensure that that the company information in the beneficial ownership register corresponds to company information in the business registers (which is subject to preventive control and is up-to-date) and therefore, contribute to the objectives of the EU AML legislation, given that the </w:t>
      </w:r>
      <w:r w:rsidRPr="00D8327F">
        <w:rPr>
          <w:noProof/>
        </w:rPr>
        <w:t xml:space="preserve">accuracy of data included in the beneficial ownership registers is </w:t>
      </w:r>
      <w:r w:rsidRPr="43B4ECDA">
        <w:rPr>
          <w:noProof/>
        </w:rPr>
        <w:t xml:space="preserve">of </w:t>
      </w:r>
      <w:r w:rsidRPr="00D8327F">
        <w:rPr>
          <w:noProof/>
        </w:rPr>
        <w:t>fundamental</w:t>
      </w:r>
      <w:r w:rsidRPr="43B4ECDA">
        <w:rPr>
          <w:noProof/>
        </w:rPr>
        <w:t xml:space="preserve"> importance</w:t>
      </w:r>
      <w:r w:rsidRPr="00D8327F">
        <w:rPr>
          <w:noProof/>
        </w:rPr>
        <w:t xml:space="preserve"> for authorities and other persons allowed access to that data, and to make valid, lawful decisions based on that data</w:t>
      </w:r>
      <w:r>
        <w:rPr>
          <w:noProof/>
        </w:rPr>
        <w:t xml:space="preserve">. </w:t>
      </w:r>
      <w:r w:rsidR="00067001">
        <w:rPr>
          <w:noProof/>
        </w:rPr>
        <w:t xml:space="preserve">This would also be in line with the </w:t>
      </w:r>
      <w:r>
        <w:rPr>
          <w:noProof/>
        </w:rPr>
        <w:t xml:space="preserve">upcoming </w:t>
      </w:r>
      <w:r w:rsidRPr="001F2E4B">
        <w:rPr>
          <w:noProof/>
        </w:rPr>
        <w:t>interconnection</w:t>
      </w:r>
      <w:r>
        <w:rPr>
          <w:noProof/>
        </w:rPr>
        <w:t xml:space="preserve"> </w:t>
      </w:r>
      <w:r w:rsidRPr="001F2E4B">
        <w:rPr>
          <w:noProof/>
        </w:rPr>
        <w:t xml:space="preserve">between </w:t>
      </w:r>
      <w:r>
        <w:rPr>
          <w:noProof/>
        </w:rPr>
        <w:t xml:space="preserve">the </w:t>
      </w:r>
      <w:r w:rsidRPr="001F2E4B">
        <w:rPr>
          <w:noProof/>
        </w:rPr>
        <w:t>Business Registers Interconnection system</w:t>
      </w:r>
      <w:r>
        <w:rPr>
          <w:noProof/>
        </w:rPr>
        <w:t>,</w:t>
      </w:r>
      <w:r w:rsidRPr="001F2E4B">
        <w:rPr>
          <w:noProof/>
        </w:rPr>
        <w:t xml:space="preserve"> BRIS</w:t>
      </w:r>
      <w:r>
        <w:rPr>
          <w:noProof/>
        </w:rPr>
        <w:t>,</w:t>
      </w:r>
      <w:r w:rsidRPr="001F2E4B">
        <w:rPr>
          <w:noProof/>
        </w:rPr>
        <w:t xml:space="preserve"> and </w:t>
      </w:r>
      <w:r>
        <w:rPr>
          <w:noProof/>
        </w:rPr>
        <w:t xml:space="preserve">the </w:t>
      </w:r>
      <w:r w:rsidRPr="008808BE">
        <w:rPr>
          <w:noProof/>
        </w:rPr>
        <w:t>Beneficial Ownership Registers Interconnection System</w:t>
      </w:r>
      <w:r>
        <w:rPr>
          <w:noProof/>
        </w:rPr>
        <w:t xml:space="preserve">, </w:t>
      </w:r>
      <w:r w:rsidRPr="001F2E4B">
        <w:rPr>
          <w:noProof/>
        </w:rPr>
        <w:t>BORIS, following the Upgrading digital company law Directive (EU) 2025/25.</w:t>
      </w:r>
    </w:p>
    <w:sectPr w:rsidR="00D20FD1" w:rsidRPr="0053316B" w:rsidSect="009F5305">
      <w:headerReference w:type="even" r:id="rId35"/>
      <w:headerReference w:type="default" r:id="rId36"/>
      <w:footerReference w:type="even" r:id="rId37"/>
      <w:footerReference w:type="default" r:id="rId38"/>
      <w:headerReference w:type="first" r:id="rId39"/>
      <w:footerReference w:type="first" r:id="rId40"/>
      <w:pgSz w:w="11906" w:h="16838"/>
      <w:pgMar w:top="1021" w:right="1701" w:bottom="1021" w:left="1588"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BAA8A" w14:textId="77777777" w:rsidR="006D1B14" w:rsidRDefault="006D1B14" w:rsidP="000E3086">
      <w:r>
        <w:separator/>
      </w:r>
    </w:p>
  </w:endnote>
  <w:endnote w:type="continuationSeparator" w:id="0">
    <w:p w14:paraId="4480B38B" w14:textId="77777777" w:rsidR="006D1B14" w:rsidRDefault="006D1B14" w:rsidP="000E3086">
      <w:r>
        <w:continuationSeparator/>
      </w:r>
    </w:p>
  </w:endnote>
  <w:endnote w:type="continuationNotice" w:id="1">
    <w:p w14:paraId="52183900" w14:textId="77777777" w:rsidR="006D1B14" w:rsidRDefault="006D1B1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EC Square Sans Pro">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Arial"/>
    <w:panose1 w:val="00000000000000000000"/>
    <w:charset w:val="00"/>
    <w:family w:val="roman"/>
    <w:notTrueType/>
    <w:pitch w:val="default"/>
  </w:font>
  <w:font w:name="Aptos Narrow">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D0738" w14:textId="43E1F70C" w:rsidR="008660A9" w:rsidRPr="008660A9" w:rsidRDefault="008660A9" w:rsidP="008660A9">
    <w:pPr>
      <w:pStyle w:val="FooterCoverPage"/>
      <w:rPr>
        <w:rFonts w:ascii="Arial" w:hAnsi="Arial" w:cs="Arial"/>
        <w:b/>
        <w:sz w:val="48"/>
      </w:rPr>
    </w:pPr>
    <w:r w:rsidRPr="008660A9">
      <w:rPr>
        <w:rFonts w:ascii="Arial" w:hAnsi="Arial" w:cs="Arial"/>
        <w:b/>
        <w:sz w:val="48"/>
      </w:rPr>
      <w:t>EN</w:t>
    </w:r>
    <w:r w:rsidRPr="008660A9">
      <w:rPr>
        <w:rFonts w:ascii="Arial" w:hAnsi="Arial" w:cs="Arial"/>
        <w:b/>
        <w:sz w:val="48"/>
      </w:rPr>
      <w:tab/>
    </w:r>
    <w:r w:rsidRPr="008660A9">
      <w:rPr>
        <w:rFonts w:ascii="Arial" w:hAnsi="Arial" w:cs="Arial"/>
        <w:b/>
        <w:sz w:val="48"/>
      </w:rPr>
      <w:tab/>
    </w:r>
    <w:r w:rsidRPr="008660A9">
      <w:tab/>
    </w:r>
    <w:r w:rsidRPr="008660A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C79F3" w14:textId="3BAFEA6D" w:rsidR="008660A9" w:rsidRPr="008660A9" w:rsidRDefault="008660A9" w:rsidP="008660A9">
    <w:pPr>
      <w:pStyle w:val="FooterCoverPage"/>
      <w:rPr>
        <w:rFonts w:ascii="Arial" w:hAnsi="Arial" w:cs="Arial"/>
        <w:b/>
        <w:sz w:val="48"/>
      </w:rPr>
    </w:pPr>
    <w:r w:rsidRPr="008660A9">
      <w:rPr>
        <w:rFonts w:ascii="Arial" w:hAnsi="Arial" w:cs="Arial"/>
        <w:b/>
        <w:sz w:val="48"/>
      </w:rPr>
      <w:t>EN</w:t>
    </w:r>
    <w:r w:rsidRPr="008660A9">
      <w:rPr>
        <w:rFonts w:ascii="Arial" w:hAnsi="Arial" w:cs="Arial"/>
        <w:b/>
        <w:sz w:val="48"/>
      </w:rPr>
      <w:tab/>
    </w:r>
    <w:r w:rsidRPr="008660A9">
      <w:rPr>
        <w:rFonts w:ascii="Arial" w:hAnsi="Arial" w:cs="Arial"/>
        <w:b/>
        <w:sz w:val="48"/>
      </w:rPr>
      <w:tab/>
    </w:r>
    <w:r w:rsidRPr="008660A9">
      <w:tab/>
    </w:r>
    <w:r w:rsidRPr="008660A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EA992" w14:textId="77777777" w:rsidR="008660A9" w:rsidRPr="008660A9" w:rsidRDefault="008660A9" w:rsidP="008660A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281AD" w14:textId="77777777" w:rsidR="00CB14B2" w:rsidRDefault="00CB14B2" w:rsidP="000E30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9CE2C" w14:textId="5ADC6596" w:rsidR="00CB14B2" w:rsidRDefault="00CB14B2" w:rsidP="00F92EAE">
    <w:pPr>
      <w:pStyle w:val="Footer"/>
      <w:jc w:val="center"/>
    </w:pPr>
    <w:r>
      <w:fldChar w:fldCharType="begin"/>
    </w:r>
    <w:r>
      <w:instrText>PAGE</w:instrText>
    </w:r>
    <w:r>
      <w:fldChar w:fldCharType="separate"/>
    </w:r>
    <w:r w:rsidR="008660A9">
      <w:rPr>
        <w:noProof/>
      </w:rPr>
      <w:t>14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399700"/>
      <w:docPartObj>
        <w:docPartGallery w:val="Page Numbers (Bottom of Page)"/>
        <w:docPartUnique/>
      </w:docPartObj>
    </w:sdtPr>
    <w:sdtEndPr>
      <w:rPr>
        <w:noProof/>
      </w:rPr>
    </w:sdtEndPr>
    <w:sdtContent>
      <w:p w14:paraId="23BC81F8" w14:textId="0CE91BCB" w:rsidR="00CB14B2" w:rsidRDefault="00CB14B2" w:rsidP="00694871">
        <w:pPr>
          <w:pStyle w:val="Footer"/>
          <w:jc w:val="center"/>
        </w:pPr>
        <w:r>
          <w:fldChar w:fldCharType="begin"/>
        </w:r>
        <w:r>
          <w:instrText xml:space="preserve"> PAGE   \* MERGEFORMAT </w:instrText>
        </w:r>
        <w:r>
          <w:fldChar w:fldCharType="separate"/>
        </w:r>
        <w:r w:rsidR="008660A9">
          <w:rPr>
            <w:noProof/>
          </w:rPr>
          <w:t>1</w:t>
        </w:r>
        <w:r>
          <w:rPr>
            <w:noProof/>
          </w:rPr>
          <w:fldChar w:fldCharType="end"/>
        </w:r>
      </w:p>
    </w:sdtContent>
  </w:sdt>
  <w:p w14:paraId="11D2BDDF" w14:textId="77777777" w:rsidR="00CB14B2" w:rsidRDefault="00CB14B2" w:rsidP="000E308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8F2C4" w14:textId="77777777" w:rsidR="00CB14B2" w:rsidRDefault="00CB14B2" w:rsidP="000E30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1D25D" w14:textId="77777777" w:rsidR="00CB14B2" w:rsidRDefault="00CB14B2" w:rsidP="00A468C2">
    <w:pPr>
      <w:pStyle w:val="Footer"/>
      <w:jc w:val="center"/>
    </w:pPr>
    <w:r>
      <w:fldChar w:fldCharType="begin"/>
    </w:r>
    <w:r>
      <w:instrText>PAGE</w:instrText>
    </w:r>
    <w:r>
      <w:fldChar w:fldCharType="separate"/>
    </w:r>
    <w:r>
      <w:rPr>
        <w:noProof/>
      </w:rPr>
      <w:t>11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831788014"/>
      <w:docPartObj>
        <w:docPartGallery w:val="Page Numbers (Bottom of Page)"/>
        <w:docPartUnique/>
      </w:docPartObj>
    </w:sdtPr>
    <w:sdtEndPr>
      <w:rPr>
        <w:noProof/>
      </w:rPr>
    </w:sdtEndPr>
    <w:sdtContent>
      <w:p w14:paraId="750EB828" w14:textId="77777777" w:rsidR="00CB14B2" w:rsidRPr="009D4C15" w:rsidRDefault="00CB14B2" w:rsidP="009D4C15">
        <w:pPr>
          <w:pStyle w:val="Footer"/>
          <w:jc w:val="center"/>
          <w:rPr>
            <w:sz w:val="20"/>
          </w:rPr>
        </w:pPr>
        <w:r w:rsidRPr="009D4C15">
          <w:rPr>
            <w:sz w:val="20"/>
          </w:rPr>
          <w:fldChar w:fldCharType="begin"/>
        </w:r>
        <w:r w:rsidRPr="009D4C15">
          <w:rPr>
            <w:sz w:val="20"/>
          </w:rPr>
          <w:instrText xml:space="preserve"> PAGE   \* MERGEFORMAT </w:instrText>
        </w:r>
        <w:r w:rsidRPr="009D4C15">
          <w:rPr>
            <w:sz w:val="20"/>
          </w:rPr>
          <w:fldChar w:fldCharType="separate"/>
        </w:r>
        <w:r w:rsidR="000517E9">
          <w:rPr>
            <w:noProof/>
            <w:sz w:val="20"/>
          </w:rPr>
          <w:t>9</w:t>
        </w:r>
        <w:r w:rsidRPr="009D4C15">
          <w:rPr>
            <w:noProof/>
            <w:sz w:val="20"/>
          </w:rPr>
          <w:fldChar w:fldCharType="end"/>
        </w:r>
      </w:p>
    </w:sdtContent>
  </w:sdt>
  <w:p w14:paraId="50BBBC35" w14:textId="77777777" w:rsidR="00CB14B2" w:rsidRDefault="00CB14B2" w:rsidP="000E308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C539F" w14:textId="77777777" w:rsidR="007F23F2" w:rsidRDefault="007F23F2" w:rsidP="00A468C2">
    <w:pPr>
      <w:pStyle w:val="Footer"/>
      <w:jc w:val="center"/>
    </w:pPr>
    <w:r>
      <w:fldChar w:fldCharType="begin"/>
    </w:r>
    <w:r>
      <w:instrText>PAGE</w:instrText>
    </w:r>
    <w:r>
      <w:fldChar w:fldCharType="separate"/>
    </w:r>
    <w:r>
      <w:rPr>
        <w:noProof/>
      </w:rPr>
      <w:t>11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6255389"/>
      <w:docPartObj>
        <w:docPartGallery w:val="Page Numbers (Bottom of Page)"/>
        <w:docPartUnique/>
      </w:docPartObj>
    </w:sdtPr>
    <w:sdtEndPr>
      <w:rPr>
        <w:noProof/>
      </w:rPr>
    </w:sdtEndPr>
    <w:sdtContent>
      <w:p w14:paraId="74E1B24A" w14:textId="77777777" w:rsidR="007F23F2" w:rsidRPr="009D4C15" w:rsidRDefault="007F23F2" w:rsidP="009D4C15">
        <w:pPr>
          <w:pStyle w:val="Footer"/>
          <w:jc w:val="center"/>
          <w:rPr>
            <w:sz w:val="20"/>
          </w:rPr>
        </w:pPr>
        <w:r w:rsidRPr="009D4C15">
          <w:rPr>
            <w:sz w:val="20"/>
          </w:rPr>
          <w:fldChar w:fldCharType="begin"/>
        </w:r>
        <w:r w:rsidRPr="009D4C15">
          <w:rPr>
            <w:sz w:val="20"/>
          </w:rPr>
          <w:instrText xml:space="preserve"> PAGE   \* MERGEFORMAT </w:instrText>
        </w:r>
        <w:r w:rsidRPr="009D4C15">
          <w:rPr>
            <w:sz w:val="20"/>
          </w:rPr>
          <w:fldChar w:fldCharType="separate"/>
        </w:r>
        <w:r>
          <w:rPr>
            <w:noProof/>
            <w:sz w:val="20"/>
          </w:rPr>
          <w:t>9</w:t>
        </w:r>
        <w:r w:rsidRPr="009D4C15">
          <w:rPr>
            <w:noProof/>
            <w:sz w:val="20"/>
          </w:rPr>
          <w:fldChar w:fldCharType="end"/>
        </w:r>
      </w:p>
    </w:sdtContent>
  </w:sdt>
  <w:p w14:paraId="1181BE64" w14:textId="77777777" w:rsidR="007F23F2" w:rsidRDefault="007F23F2" w:rsidP="000E30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90344"/>
      <w:docPartObj>
        <w:docPartGallery w:val="Page Numbers (Bottom of Page)"/>
        <w:docPartUnique/>
      </w:docPartObj>
    </w:sdtPr>
    <w:sdtEndPr>
      <w:rPr>
        <w:noProof/>
      </w:rPr>
    </w:sdtEndPr>
    <w:sdtContent>
      <w:p w14:paraId="24897D4D" w14:textId="018C6C10" w:rsidR="008F2068" w:rsidRDefault="008F20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15927" w14:textId="77777777" w:rsidR="00CB14B2" w:rsidRPr="00CD516A" w:rsidRDefault="00CB14B2" w:rsidP="000E308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35B24" w14:textId="69211BDC" w:rsidR="00CB14B2" w:rsidRDefault="00CB14B2" w:rsidP="000E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F29D6" w14:textId="77777777" w:rsidR="006D1B14" w:rsidRDefault="006D1B14" w:rsidP="000E3086">
      <w:r>
        <w:separator/>
      </w:r>
    </w:p>
  </w:footnote>
  <w:footnote w:type="continuationSeparator" w:id="0">
    <w:p w14:paraId="4ED9AEC4" w14:textId="77777777" w:rsidR="006D1B14" w:rsidRDefault="006D1B14" w:rsidP="000E3086">
      <w:r>
        <w:continuationSeparator/>
      </w:r>
    </w:p>
  </w:footnote>
  <w:footnote w:type="continuationNotice" w:id="1">
    <w:p w14:paraId="2D1B579A" w14:textId="77777777" w:rsidR="006D1B14" w:rsidRDefault="006D1B14">
      <w:pPr>
        <w:spacing w:after="0"/>
      </w:pPr>
    </w:p>
  </w:footnote>
  <w:footnote w:id="2">
    <w:p w14:paraId="49719449" w14:textId="1437B436" w:rsidR="00894F8F" w:rsidRPr="00D34B0F" w:rsidRDefault="00894F8F">
      <w:pPr>
        <w:pStyle w:val="FootnoteText"/>
        <w:rPr>
          <w:sz w:val="18"/>
          <w:szCs w:val="18"/>
        </w:rPr>
      </w:pPr>
      <w:r w:rsidRPr="00D34B0F">
        <w:rPr>
          <w:rStyle w:val="FootnoteReference"/>
          <w:sz w:val="18"/>
          <w:szCs w:val="18"/>
        </w:rPr>
        <w:footnoteRef/>
      </w:r>
      <w:r w:rsidR="00D34B0F" w:rsidRPr="00D34B0F">
        <w:rPr>
          <w:sz w:val="18"/>
          <w:szCs w:val="18"/>
        </w:rPr>
        <w:t> </w:t>
      </w:r>
      <w:r w:rsidR="00174BA7" w:rsidRPr="00D34B0F">
        <w:rPr>
          <w:sz w:val="18"/>
          <w:szCs w:val="18"/>
        </w:rPr>
        <w:t xml:space="preserve">COM, Have Your Say: </w:t>
      </w:r>
      <w:hyperlink r:id="rId1" w:history="1">
        <w:r w:rsidR="00174BA7" w:rsidRPr="00D34B0F">
          <w:rPr>
            <w:rStyle w:val="Hyperlink"/>
            <w:sz w:val="18"/>
            <w:szCs w:val="18"/>
          </w:rPr>
          <w:t>28th regime – a single harmonized set of rules for innovative companies throughout the EU</w:t>
        </w:r>
      </w:hyperlink>
      <w:r w:rsidR="00174BA7" w:rsidRPr="00D34B0F">
        <w:rPr>
          <w:sz w:val="18"/>
          <w:szCs w:val="18"/>
        </w:rPr>
        <w:t>.</w:t>
      </w:r>
    </w:p>
  </w:footnote>
  <w:footnote w:id="3">
    <w:p w14:paraId="47AA0D0F" w14:textId="19D6635A" w:rsidR="009C4515" w:rsidRPr="009C4515" w:rsidRDefault="009C4515">
      <w:pPr>
        <w:pStyle w:val="FootnoteText"/>
      </w:pPr>
      <w:r>
        <w:rPr>
          <w:rStyle w:val="FootnoteReference"/>
        </w:rPr>
        <w:footnoteRef/>
      </w:r>
      <w:r>
        <w:t xml:space="preserve"> </w:t>
      </w:r>
      <w:hyperlink r:id="rId2" w:history="1">
        <w:r w:rsidR="00F750CF" w:rsidRPr="00F750CF">
          <w:rPr>
            <w:rStyle w:val="Hyperlink"/>
          </w:rPr>
          <w:t>Have your say website</w:t>
        </w:r>
      </w:hyperlink>
    </w:p>
  </w:footnote>
  <w:footnote w:id="4">
    <w:p w14:paraId="531D1555" w14:textId="48F9B8D6" w:rsidR="00B6267F" w:rsidRPr="00D34B0F" w:rsidRDefault="00B6267F">
      <w:pPr>
        <w:pStyle w:val="FootnoteText"/>
        <w:rPr>
          <w:sz w:val="18"/>
          <w:szCs w:val="18"/>
        </w:rPr>
      </w:pPr>
      <w:r w:rsidRPr="00D34B0F">
        <w:rPr>
          <w:rStyle w:val="FootnoteReference"/>
          <w:sz w:val="18"/>
          <w:szCs w:val="18"/>
        </w:rPr>
        <w:footnoteRef/>
      </w:r>
      <w:r w:rsidR="00D34B0F" w:rsidRPr="00D34B0F">
        <w:rPr>
          <w:sz w:val="18"/>
          <w:szCs w:val="18"/>
        </w:rPr>
        <w:t> </w:t>
      </w:r>
      <w:r w:rsidR="00DD6DE1" w:rsidRPr="00D34B0F">
        <w:rPr>
          <w:sz w:val="18"/>
          <w:szCs w:val="18"/>
        </w:rPr>
        <w:t xml:space="preserve">COM, </w:t>
      </w:r>
      <w:hyperlink r:id="rId3" w:history="1">
        <w:r w:rsidRPr="00D34B0F">
          <w:rPr>
            <w:rStyle w:val="Hyperlink"/>
            <w:sz w:val="18"/>
            <w:szCs w:val="18"/>
          </w:rPr>
          <w:t xml:space="preserve">Meetings </w:t>
        </w:r>
        <w:r w:rsidR="00B95F8D" w:rsidRPr="00D34B0F">
          <w:rPr>
            <w:rStyle w:val="Hyperlink"/>
            <w:sz w:val="18"/>
            <w:szCs w:val="18"/>
          </w:rPr>
          <w:t xml:space="preserve">held by the Directorate-General for Justice and Consumers </w:t>
        </w:r>
        <w:r w:rsidRPr="00D34B0F">
          <w:rPr>
            <w:rStyle w:val="Hyperlink"/>
            <w:sz w:val="18"/>
            <w:szCs w:val="18"/>
          </w:rPr>
          <w:t>with interest representatives</w:t>
        </w:r>
      </w:hyperlink>
      <w:r w:rsidR="00B95F8D" w:rsidRPr="00D34B0F">
        <w:rPr>
          <w:sz w:val="18"/>
          <w:szCs w:val="18"/>
        </w:rPr>
        <w:t>.</w:t>
      </w:r>
    </w:p>
  </w:footnote>
  <w:footnote w:id="5">
    <w:p w14:paraId="40335E65" w14:textId="31A96A55" w:rsidR="003A7BCE" w:rsidRPr="00D34B0F" w:rsidRDefault="003A7BCE" w:rsidP="003A7BCE">
      <w:pPr>
        <w:pStyle w:val="FootnoteText"/>
        <w:rPr>
          <w:sz w:val="18"/>
          <w:szCs w:val="18"/>
        </w:rPr>
      </w:pPr>
      <w:r w:rsidRPr="00D34B0F">
        <w:rPr>
          <w:rStyle w:val="FootnoteReference"/>
          <w:sz w:val="18"/>
          <w:szCs w:val="18"/>
        </w:rPr>
        <w:footnoteRef/>
      </w:r>
      <w:r w:rsidR="00D34B0F" w:rsidRPr="00D34B0F">
        <w:rPr>
          <w:sz w:val="18"/>
          <w:szCs w:val="18"/>
        </w:rPr>
        <w:t> </w:t>
      </w:r>
      <w:r w:rsidRPr="00D34B0F">
        <w:rPr>
          <w:sz w:val="18"/>
          <w:szCs w:val="18"/>
        </w:rPr>
        <w:t>Launched in March and concluded in November 2025.</w:t>
      </w:r>
    </w:p>
  </w:footnote>
  <w:footnote w:id="6">
    <w:p w14:paraId="4DF6494B" w14:textId="6EEF31BB" w:rsidR="00D32350" w:rsidRPr="00D34B0F" w:rsidRDefault="00D32350">
      <w:pPr>
        <w:pStyle w:val="FootnoteText"/>
        <w:rPr>
          <w:sz w:val="18"/>
          <w:szCs w:val="18"/>
        </w:rPr>
      </w:pPr>
      <w:r w:rsidRPr="00D34B0F">
        <w:rPr>
          <w:rStyle w:val="FootnoteReference"/>
          <w:sz w:val="18"/>
          <w:szCs w:val="18"/>
        </w:rPr>
        <w:footnoteRef/>
      </w:r>
      <w:r w:rsidR="00D34B0F" w:rsidRPr="00D34B0F">
        <w:rPr>
          <w:sz w:val="18"/>
          <w:szCs w:val="18"/>
        </w:rPr>
        <w:t> </w:t>
      </w:r>
      <w:r>
        <w:t xml:space="preserve">The report as well as discussion papers and agendas of the HLF meetings are available on the HLF’s website: </w:t>
      </w:r>
      <w:hyperlink r:id="rId4" w:history="1">
        <w:r w:rsidR="003C24F6" w:rsidRPr="00D34B0F">
          <w:rPr>
            <w:rStyle w:val="Hyperlink"/>
            <w:sz w:val="18"/>
            <w:szCs w:val="18"/>
          </w:rPr>
          <w:t>High</w:t>
        </w:r>
        <w:r w:rsidR="00F866DC" w:rsidRPr="00D34B0F">
          <w:rPr>
            <w:rStyle w:val="Hyperlink"/>
            <w:sz w:val="18"/>
            <w:szCs w:val="18"/>
          </w:rPr>
          <w:t xml:space="preserve">-Level Forum on Justice for </w:t>
        </w:r>
        <w:r w:rsidR="00AF0164" w:rsidRPr="00D34B0F">
          <w:rPr>
            <w:rStyle w:val="Hyperlink"/>
            <w:sz w:val="18"/>
            <w:szCs w:val="18"/>
          </w:rPr>
          <w:t>Growth</w:t>
        </w:r>
      </w:hyperlink>
      <w:r w:rsidR="00AF0164" w:rsidRPr="00D34B0F">
        <w:rPr>
          <w:sz w:val="18"/>
          <w:szCs w:val="18"/>
        </w:rPr>
        <w:t>.</w:t>
      </w:r>
    </w:p>
  </w:footnote>
  <w:footnote w:id="7">
    <w:p w14:paraId="0BB5EEAB" w14:textId="6626A0CB" w:rsidR="00511978" w:rsidRPr="00D34B0F" w:rsidRDefault="00511978">
      <w:pPr>
        <w:pStyle w:val="FootnoteText"/>
        <w:rPr>
          <w:sz w:val="18"/>
          <w:szCs w:val="18"/>
        </w:rPr>
      </w:pPr>
      <w:r w:rsidRPr="00D34B0F">
        <w:rPr>
          <w:rStyle w:val="FootnoteReference"/>
          <w:sz w:val="18"/>
          <w:szCs w:val="18"/>
        </w:rPr>
        <w:footnoteRef/>
      </w:r>
      <w:r w:rsidR="00D34B0F" w:rsidRPr="00D34B0F">
        <w:rPr>
          <w:sz w:val="18"/>
          <w:szCs w:val="18"/>
        </w:rPr>
        <w:t> </w:t>
      </w:r>
      <w:hyperlink r:id="rId5" w:history="1">
        <w:r w:rsidR="006A53A8" w:rsidRPr="00D34B0F">
          <w:rPr>
            <w:rStyle w:val="Hyperlink"/>
            <w:sz w:val="18"/>
            <w:szCs w:val="18"/>
          </w:rPr>
          <w:t xml:space="preserve">Register of Commission </w:t>
        </w:r>
        <w:r w:rsidR="002B4456" w:rsidRPr="00D34B0F">
          <w:rPr>
            <w:rStyle w:val="Hyperlink"/>
            <w:sz w:val="18"/>
            <w:szCs w:val="18"/>
          </w:rPr>
          <w:t>Expert Groups and Other Similar Entities:</w:t>
        </w:r>
        <w:r w:rsidR="00027948" w:rsidRPr="00D34B0F">
          <w:rPr>
            <w:rStyle w:val="Hyperlink"/>
            <w:sz w:val="18"/>
            <w:szCs w:val="18"/>
          </w:rPr>
          <w:t xml:space="preserve"> Informal Expert Group on Company Law and Corporate Governance (E03036)</w:t>
        </w:r>
      </w:hyperlink>
      <w:r w:rsidR="00027948" w:rsidRPr="00D34B0F">
        <w:rPr>
          <w:sz w:val="18"/>
          <w:szCs w:val="18"/>
        </w:rPr>
        <w:t>.</w:t>
      </w:r>
    </w:p>
  </w:footnote>
  <w:footnote w:id="8">
    <w:p w14:paraId="131D119C" w14:textId="77777777" w:rsidR="009C1B1C" w:rsidRPr="00005818" w:rsidRDefault="009C1B1C" w:rsidP="009C1B1C">
      <w:pPr>
        <w:pStyle w:val="FootnoteText"/>
        <w:rPr>
          <w:sz w:val="18"/>
          <w:szCs w:val="18"/>
        </w:rPr>
      </w:pPr>
      <w:r w:rsidRPr="00005818">
        <w:rPr>
          <w:rStyle w:val="FootnoteReference"/>
          <w:sz w:val="18"/>
          <w:szCs w:val="18"/>
        </w:rPr>
        <w:footnoteRef/>
      </w:r>
      <w:r w:rsidRPr="00005818">
        <w:rPr>
          <w:sz w:val="18"/>
          <w:szCs w:val="18"/>
        </w:rPr>
        <w:t> </w:t>
      </w:r>
      <w:hyperlink r:id="rId6" w:history="1">
        <w:r w:rsidRPr="00005818">
          <w:rPr>
            <w:rStyle w:val="Hyperlink"/>
            <w:sz w:val="18"/>
            <w:szCs w:val="18"/>
          </w:rPr>
          <w:t>2025/2079(INL)</w:t>
        </w:r>
      </w:hyperlink>
      <w:r w:rsidRPr="00005818">
        <w:rPr>
          <w:sz w:val="18"/>
          <w:szCs w:val="18"/>
        </w:rPr>
        <w:t>.</w:t>
      </w:r>
    </w:p>
  </w:footnote>
  <w:footnote w:id="9">
    <w:p w14:paraId="2139C7F0" w14:textId="40A8941F" w:rsidR="001A529D" w:rsidRPr="00D34B0F" w:rsidRDefault="001A529D" w:rsidP="001A529D">
      <w:pPr>
        <w:pStyle w:val="FootnoteText"/>
        <w:rPr>
          <w:sz w:val="18"/>
          <w:szCs w:val="18"/>
        </w:rPr>
      </w:pPr>
      <w:r w:rsidRPr="00D34B0F">
        <w:rPr>
          <w:rStyle w:val="FootnoteReference"/>
          <w:sz w:val="18"/>
          <w:szCs w:val="18"/>
        </w:rPr>
        <w:footnoteRef/>
      </w:r>
      <w:r w:rsidR="006C6C51" w:rsidRPr="00D34B0F">
        <w:rPr>
          <w:sz w:val="18"/>
          <w:szCs w:val="18"/>
        </w:rPr>
        <w:t> </w:t>
      </w:r>
      <w:r w:rsidRPr="00D34B0F">
        <w:rPr>
          <w:sz w:val="18"/>
          <w:szCs w:val="18"/>
        </w:rPr>
        <w:t xml:space="preserve">The costs and benefits data in this </w:t>
      </w:r>
      <w:r w:rsidR="0071767B" w:rsidRPr="00D34B0F">
        <w:rPr>
          <w:sz w:val="18"/>
          <w:szCs w:val="18"/>
        </w:rPr>
        <w:t>A</w:t>
      </w:r>
      <w:r w:rsidRPr="00D34B0F">
        <w:rPr>
          <w:sz w:val="18"/>
          <w:szCs w:val="18"/>
        </w:rPr>
        <w:t xml:space="preserve">nnex are consistent with the data in </w:t>
      </w:r>
      <w:r w:rsidR="0071767B" w:rsidRPr="00D34B0F">
        <w:rPr>
          <w:sz w:val="18"/>
          <w:szCs w:val="18"/>
        </w:rPr>
        <w:t>A</w:t>
      </w:r>
      <w:r w:rsidRPr="00D34B0F">
        <w:rPr>
          <w:sz w:val="18"/>
          <w:szCs w:val="18"/>
        </w:rPr>
        <w:t xml:space="preserve">nnex 3. The preferred option includes the mitigating measures listed in section 4. </w:t>
      </w:r>
    </w:p>
  </w:footnote>
  <w:footnote w:id="10">
    <w:p w14:paraId="40B80014" w14:textId="2C6ACAB3" w:rsidR="00C04C32" w:rsidRPr="00D34B0F" w:rsidRDefault="00C04C32" w:rsidP="001A529D">
      <w:pPr>
        <w:pStyle w:val="FootnoteText"/>
        <w:rPr>
          <w:sz w:val="18"/>
          <w:szCs w:val="18"/>
        </w:rPr>
      </w:pPr>
      <w:r w:rsidRPr="00D34B0F">
        <w:rPr>
          <w:rStyle w:val="FootnoteReference"/>
          <w:sz w:val="18"/>
          <w:szCs w:val="18"/>
        </w:rPr>
        <w:footnoteRef/>
      </w:r>
      <w:r w:rsidRPr="00D34B0F">
        <w:rPr>
          <w:sz w:val="18"/>
          <w:szCs w:val="18"/>
        </w:rPr>
        <w:t> The direct benefits for SMEs can also be cost savings.</w:t>
      </w:r>
    </w:p>
  </w:footnote>
  <w:footnote w:id="11">
    <w:p w14:paraId="520166C1" w14:textId="1F9B964A" w:rsidR="00AA6FBD" w:rsidRPr="00D34B0F" w:rsidRDefault="00AA6FBD" w:rsidP="00D960F2">
      <w:pPr>
        <w:pStyle w:val="FootnoteText"/>
        <w:rPr>
          <w:sz w:val="18"/>
          <w:szCs w:val="18"/>
        </w:rPr>
      </w:pPr>
      <w:r w:rsidRPr="00D34B0F">
        <w:rPr>
          <w:rStyle w:val="FootnoteReference"/>
          <w:sz w:val="18"/>
          <w:szCs w:val="18"/>
        </w:rPr>
        <w:footnoteRef/>
      </w:r>
      <w:r w:rsidR="001C3480" w:rsidRPr="00D34B0F">
        <w:rPr>
          <w:sz w:val="18"/>
          <w:szCs w:val="18"/>
        </w:rPr>
        <w:t> </w:t>
      </w:r>
      <w:r w:rsidRPr="00D34B0F">
        <w:rPr>
          <w:sz w:val="18"/>
          <w:szCs w:val="18"/>
        </w:rPr>
        <w:t>This option would not apply to those cases where the TIN is also the VAT identification number.</w:t>
      </w:r>
    </w:p>
  </w:footnote>
  <w:footnote w:id="12">
    <w:p w14:paraId="4377FDFC" w14:textId="7C9CFB7D" w:rsidR="00DF34D1" w:rsidRPr="00D34B0F" w:rsidRDefault="00DF34D1" w:rsidP="00DF34D1">
      <w:pPr>
        <w:pStyle w:val="FootnoteText"/>
        <w:rPr>
          <w:sz w:val="18"/>
          <w:szCs w:val="18"/>
        </w:rPr>
      </w:pPr>
      <w:r w:rsidRPr="00D34B0F">
        <w:rPr>
          <w:rStyle w:val="FootnoteReference"/>
          <w:sz w:val="18"/>
          <w:szCs w:val="18"/>
        </w:rPr>
        <w:footnoteRef/>
      </w:r>
      <w:r w:rsidR="001C3480" w:rsidRPr="00D34B0F">
        <w:rPr>
          <w:sz w:val="18"/>
          <w:szCs w:val="18"/>
        </w:rPr>
        <w:t> </w:t>
      </w:r>
      <w:r w:rsidR="00CC47DC" w:rsidRPr="00D34B0F">
        <w:rPr>
          <w:sz w:val="18"/>
          <w:szCs w:val="18"/>
        </w:rPr>
        <w:t xml:space="preserve">Annex 6: Number of companies, Branches and subsidiaries, </w:t>
      </w:r>
      <w:hyperlink r:id="rId7" w:history="1">
        <w:r w:rsidR="00C84BF2" w:rsidRPr="00D34B0F">
          <w:rPr>
            <w:rStyle w:val="Hyperlink"/>
            <w:sz w:val="18"/>
            <w:szCs w:val="18"/>
          </w:rPr>
          <w:t>SWD(2023) 178 final</w:t>
        </w:r>
      </w:hyperlink>
      <w:r w:rsidR="00C84BF2" w:rsidRPr="00D34B0F">
        <w:rPr>
          <w:sz w:val="18"/>
          <w:szCs w:val="18"/>
        </w:rPr>
        <w:t xml:space="preserve">. </w:t>
      </w:r>
    </w:p>
    <w:p w14:paraId="6D578C74" w14:textId="77777777" w:rsidR="00DF34D1" w:rsidRPr="00D34B0F" w:rsidRDefault="00DF34D1" w:rsidP="00DF34D1">
      <w:pPr>
        <w:pStyle w:val="FootnoteText"/>
        <w:rPr>
          <w:sz w:val="18"/>
          <w:szCs w:val="18"/>
        </w:rPr>
      </w:pPr>
      <w:r w:rsidRPr="00D34B0F">
        <w:rPr>
          <w:sz w:val="18"/>
          <w:szCs w:val="18"/>
        </w:rPr>
        <w:t>*Number of private LLCs was estimated on the basis of business register and BRIS data.</w:t>
      </w:r>
    </w:p>
    <w:p w14:paraId="52B42B29" w14:textId="77777777" w:rsidR="00DF34D1" w:rsidRPr="00D34B0F" w:rsidRDefault="00DF34D1" w:rsidP="00DF34D1">
      <w:pPr>
        <w:pStyle w:val="FootnoteText"/>
        <w:rPr>
          <w:sz w:val="18"/>
          <w:szCs w:val="18"/>
        </w:rPr>
      </w:pPr>
    </w:p>
  </w:footnote>
  <w:footnote w:id="13">
    <w:p w14:paraId="64E8A8D2" w14:textId="7FDAC541" w:rsidR="00DF34D1" w:rsidRPr="00D34B0F" w:rsidRDefault="00DF34D1" w:rsidP="00DF34D1">
      <w:pPr>
        <w:pStyle w:val="FootnoteText"/>
        <w:rPr>
          <w:sz w:val="18"/>
          <w:szCs w:val="18"/>
        </w:rPr>
      </w:pPr>
      <w:r w:rsidRPr="00D34B0F">
        <w:rPr>
          <w:rStyle w:val="FootnoteReference"/>
          <w:sz w:val="18"/>
          <w:szCs w:val="18"/>
        </w:rPr>
        <w:footnoteRef/>
      </w:r>
      <w:r w:rsidR="001C3480" w:rsidRPr="00D34B0F">
        <w:rPr>
          <w:sz w:val="18"/>
          <w:szCs w:val="18"/>
        </w:rPr>
        <w:t> </w:t>
      </w:r>
      <w:r w:rsidRPr="00D34B0F">
        <w:rPr>
          <w:sz w:val="18"/>
          <w:szCs w:val="18"/>
        </w:rPr>
        <w:t>For Germany, recent data shows a significant decline in the growth of UG numbers. However, this effect is primarily due to the fact that the UG is only a variant of the GmbH and that UGs can adopt the GmbH ‘brand’ by meeting the minimum capital requirement of the GmbH. Over time, many UGs become GmbHs this way, thus reducing the net growth rate of the UG. For example, out of those UGs that were incorporated in the first year of the introduction of the UG, around 20% have become an GmbH within 15 years, Lieder/Hoffmann, GmbHR 2025, p. 785</w:t>
      </w:r>
      <w:r w:rsidR="006942D9" w:rsidRPr="00D34B0F">
        <w:rPr>
          <w:sz w:val="18"/>
          <w:szCs w:val="18"/>
        </w:rPr>
        <w:t xml:space="preserve">, </w:t>
      </w:r>
      <w:r w:rsidRPr="00D34B0F">
        <w:rPr>
          <w:sz w:val="18"/>
          <w:szCs w:val="18"/>
        </w:rPr>
        <w:t>795.</w:t>
      </w:r>
    </w:p>
  </w:footnote>
  <w:footnote w:id="14">
    <w:p w14:paraId="75B6EB9A" w14:textId="73ED2426" w:rsidR="00DF34D1" w:rsidRPr="00D34B0F" w:rsidRDefault="00DF34D1" w:rsidP="00DF34D1">
      <w:pPr>
        <w:pStyle w:val="FootnoteText"/>
        <w:rPr>
          <w:sz w:val="18"/>
          <w:szCs w:val="18"/>
          <w:lang w:val="de-DE"/>
        </w:rPr>
      </w:pPr>
      <w:r w:rsidRPr="00D34B0F">
        <w:rPr>
          <w:rStyle w:val="FootnoteReference"/>
          <w:sz w:val="18"/>
          <w:szCs w:val="18"/>
        </w:rPr>
        <w:footnoteRef/>
      </w:r>
      <w:r w:rsidR="001C3480" w:rsidRPr="00D34B0F">
        <w:rPr>
          <w:sz w:val="18"/>
          <w:szCs w:val="18"/>
          <w:lang w:val="de-DE"/>
        </w:rPr>
        <w:t> </w:t>
      </w:r>
      <w:r w:rsidR="00174E1D" w:rsidRPr="00D34B0F">
        <w:rPr>
          <w:sz w:val="18"/>
          <w:szCs w:val="18"/>
          <w:lang w:val="de-DE"/>
        </w:rPr>
        <w:t xml:space="preserve">Universität Jena, </w:t>
      </w:r>
      <w:hyperlink r:id="rId8" w:history="1">
        <w:r w:rsidR="00174E1D" w:rsidRPr="00D34B0F">
          <w:rPr>
            <w:rStyle w:val="Hyperlink"/>
            <w:sz w:val="18"/>
            <w:szCs w:val="18"/>
            <w:lang w:val="de-DE"/>
          </w:rPr>
          <w:t>Forschungsprojekt Unternehmergesellschaft</w:t>
        </w:r>
      </w:hyperlink>
      <w:r w:rsidR="00180871" w:rsidRPr="00D34B0F">
        <w:rPr>
          <w:sz w:val="18"/>
          <w:szCs w:val="18"/>
          <w:lang w:val="de-DE"/>
        </w:rPr>
        <w:t xml:space="preserve">, </w:t>
      </w:r>
      <w:r w:rsidR="00472060" w:rsidRPr="00D34B0F">
        <w:rPr>
          <w:sz w:val="18"/>
          <w:szCs w:val="18"/>
          <w:lang w:val="de-DE"/>
        </w:rPr>
        <w:t>November 2018.</w:t>
      </w:r>
    </w:p>
  </w:footnote>
  <w:footnote w:id="15">
    <w:p w14:paraId="616D1D73" w14:textId="21C58B98" w:rsidR="00260416" w:rsidRPr="00D34B0F" w:rsidRDefault="00260416" w:rsidP="00260416">
      <w:pPr>
        <w:pStyle w:val="FootnoteText"/>
        <w:rPr>
          <w:sz w:val="18"/>
          <w:szCs w:val="18"/>
        </w:rPr>
      </w:pPr>
      <w:r w:rsidRPr="00D34B0F">
        <w:rPr>
          <w:rStyle w:val="FootnoteReference"/>
          <w:sz w:val="18"/>
          <w:szCs w:val="18"/>
        </w:rPr>
        <w:footnoteRef/>
      </w:r>
      <w:r w:rsidR="001C3480" w:rsidRPr="00D34B0F">
        <w:rPr>
          <w:sz w:val="18"/>
          <w:szCs w:val="18"/>
        </w:rPr>
        <w:t> </w:t>
      </w:r>
      <w:r w:rsidRPr="00D34B0F">
        <w:rPr>
          <w:sz w:val="18"/>
          <w:szCs w:val="18"/>
        </w:rPr>
        <w:t>18 Member States provide national rules for employee participation in private or public sector companies, with significant variations including applicable thresholds in terms of number of employees triggering the applicability of such rules.</w:t>
      </w:r>
    </w:p>
  </w:footnote>
  <w:footnote w:id="16">
    <w:p w14:paraId="76598898" w14:textId="51074F69" w:rsidR="00974A8D" w:rsidRPr="00D34B0F" w:rsidRDefault="00974A8D" w:rsidP="00974A8D">
      <w:pPr>
        <w:pStyle w:val="FootnoteText"/>
        <w:rPr>
          <w:sz w:val="18"/>
          <w:szCs w:val="18"/>
        </w:rPr>
      </w:pPr>
      <w:r w:rsidRPr="00D34B0F">
        <w:rPr>
          <w:rStyle w:val="FootnoteReference"/>
          <w:sz w:val="18"/>
          <w:szCs w:val="18"/>
        </w:rPr>
        <w:footnoteRef/>
      </w:r>
      <w:r w:rsidR="001C3480" w:rsidRPr="00D34B0F">
        <w:rPr>
          <w:sz w:val="18"/>
          <w:szCs w:val="18"/>
        </w:rPr>
        <w:t> </w:t>
      </w:r>
      <w:r w:rsidR="00281B62" w:rsidRPr="00D34B0F">
        <w:rPr>
          <w:sz w:val="18"/>
          <w:szCs w:val="18"/>
        </w:rPr>
        <w:t>E</w:t>
      </w:r>
      <w:r w:rsidRPr="00D34B0F">
        <w:rPr>
          <w:sz w:val="18"/>
          <w:szCs w:val="18"/>
        </w:rPr>
        <w:t xml:space="preserve">.g., ETUC press release, </w:t>
      </w:r>
      <w:hyperlink r:id="rId9" w:history="1">
        <w:r w:rsidRPr="00D34B0F">
          <w:rPr>
            <w:rStyle w:val="Hyperlink"/>
            <w:sz w:val="18"/>
            <w:szCs w:val="18"/>
          </w:rPr>
          <w:t>ETUC calls on the EU to strengthen workers' participation in European company boards</w:t>
        </w:r>
      </w:hyperlink>
      <w:r w:rsidRPr="00D34B0F" w:rsidDel="00E06C21">
        <w:rPr>
          <w:sz w:val="18"/>
          <w:szCs w:val="18"/>
        </w:rPr>
        <w:t xml:space="preserve">, </w:t>
      </w:r>
      <w:r w:rsidR="00E06C21" w:rsidRPr="00D34B0F">
        <w:rPr>
          <w:sz w:val="18"/>
          <w:szCs w:val="18"/>
        </w:rPr>
        <w:t>11 May 2016</w:t>
      </w:r>
      <w:r w:rsidRPr="00D34B0F" w:rsidDel="00E06C21">
        <w:rPr>
          <w:sz w:val="18"/>
          <w:szCs w:val="18"/>
        </w:rPr>
        <w:t>.</w:t>
      </w:r>
    </w:p>
  </w:footnote>
  <w:footnote w:id="17">
    <w:p w14:paraId="6FB03268" w14:textId="298A6916" w:rsidR="0017030C" w:rsidRPr="00D34B0F" w:rsidRDefault="0017030C">
      <w:pPr>
        <w:pStyle w:val="FootnoteText"/>
        <w:rPr>
          <w:sz w:val="18"/>
          <w:szCs w:val="18"/>
        </w:rPr>
      </w:pPr>
      <w:r w:rsidRPr="00D34B0F">
        <w:rPr>
          <w:rStyle w:val="FootnoteReference"/>
          <w:sz w:val="18"/>
          <w:szCs w:val="18"/>
        </w:rPr>
        <w:footnoteRef/>
      </w:r>
      <w:r w:rsidR="001C3480" w:rsidRPr="00D34B0F">
        <w:rPr>
          <w:sz w:val="18"/>
          <w:szCs w:val="18"/>
        </w:rPr>
        <w:t> </w:t>
      </w:r>
      <w:r w:rsidR="00321220" w:rsidRPr="00D34B0F">
        <w:rPr>
          <w:sz w:val="18"/>
          <w:szCs w:val="18"/>
        </w:rPr>
        <w:t>Article 153(f), in conjunction with Article 153(2) TFEU.</w:t>
      </w:r>
    </w:p>
  </w:footnote>
  <w:footnote w:id="18">
    <w:p w14:paraId="0300587F" w14:textId="31B9052F" w:rsidR="00321220" w:rsidRPr="00D34B0F" w:rsidRDefault="00321220">
      <w:pPr>
        <w:pStyle w:val="FootnoteText"/>
        <w:rPr>
          <w:sz w:val="18"/>
          <w:szCs w:val="18"/>
        </w:rPr>
      </w:pPr>
      <w:r w:rsidRPr="00D34B0F">
        <w:rPr>
          <w:rStyle w:val="FootnoteReference"/>
          <w:sz w:val="18"/>
          <w:szCs w:val="18"/>
        </w:rPr>
        <w:footnoteRef/>
      </w:r>
      <w:r w:rsidR="001C3480" w:rsidRPr="00D34B0F">
        <w:rPr>
          <w:sz w:val="18"/>
          <w:szCs w:val="18"/>
        </w:rPr>
        <w:t> </w:t>
      </w:r>
      <w:r w:rsidR="00F606D5" w:rsidRPr="00D34B0F">
        <w:rPr>
          <w:sz w:val="18"/>
          <w:szCs w:val="18"/>
        </w:rPr>
        <w:t>Article</w:t>
      </w:r>
      <w:r w:rsidR="0003204C" w:rsidRPr="00D34B0F">
        <w:rPr>
          <w:sz w:val="18"/>
          <w:szCs w:val="18"/>
        </w:rPr>
        <w:t>s</w:t>
      </w:r>
      <w:r w:rsidR="00F606D5" w:rsidRPr="00D34B0F">
        <w:rPr>
          <w:sz w:val="18"/>
          <w:szCs w:val="18"/>
        </w:rPr>
        <w:t xml:space="preserve"> 154 and 155 TFEU.</w:t>
      </w:r>
    </w:p>
  </w:footnote>
  <w:footnote w:id="19">
    <w:p w14:paraId="14B304AE" w14:textId="04965BE4" w:rsidR="003252DE" w:rsidRPr="007F23F2" w:rsidRDefault="003252DE">
      <w:pPr>
        <w:pStyle w:val="FootnoteText"/>
        <w:rPr>
          <w:sz w:val="18"/>
          <w:szCs w:val="18"/>
          <w:lang w:val="en-US"/>
        </w:rPr>
      </w:pPr>
      <w:r w:rsidRPr="00D34B0F">
        <w:rPr>
          <w:rStyle w:val="FootnoteReference"/>
          <w:sz w:val="18"/>
          <w:szCs w:val="18"/>
        </w:rPr>
        <w:footnoteRef/>
      </w:r>
      <w:r w:rsidR="001C3480" w:rsidRPr="007F23F2">
        <w:rPr>
          <w:sz w:val="18"/>
          <w:szCs w:val="18"/>
          <w:lang w:val="en-US"/>
        </w:rPr>
        <w:t> </w:t>
      </w:r>
      <w:hyperlink r:id="rId10" w:history="1">
        <w:r w:rsidR="00944F07" w:rsidRPr="007F23F2">
          <w:rPr>
            <w:rStyle w:val="Hyperlink"/>
            <w:sz w:val="18"/>
            <w:szCs w:val="18"/>
            <w:lang w:val="en-US"/>
          </w:rPr>
          <w:t>German coalition agreement</w:t>
        </w:r>
      </w:hyperlink>
      <w:r w:rsidR="00944F07" w:rsidRPr="007F23F2">
        <w:rPr>
          <w:sz w:val="18"/>
          <w:szCs w:val="18"/>
          <w:lang w:val="en-US"/>
        </w:rPr>
        <w:t>, 2025</w:t>
      </w:r>
      <w:r w:rsidRPr="007F23F2">
        <w:rPr>
          <w:sz w:val="18"/>
          <w:szCs w:val="18"/>
          <w:lang w:val="en-US"/>
        </w:rPr>
        <w:t>, p. 88.</w:t>
      </w:r>
    </w:p>
  </w:footnote>
  <w:footnote w:id="20">
    <w:p w14:paraId="15D2965C" w14:textId="7B938B04" w:rsidR="009B74E8" w:rsidRPr="00D34B0F" w:rsidRDefault="009B74E8" w:rsidP="009B74E8">
      <w:pPr>
        <w:pStyle w:val="FootnoteText"/>
        <w:rPr>
          <w:sz w:val="18"/>
          <w:szCs w:val="18"/>
        </w:rPr>
      </w:pPr>
      <w:r w:rsidRPr="00D34B0F">
        <w:rPr>
          <w:rStyle w:val="FootnoteReference"/>
          <w:sz w:val="18"/>
          <w:szCs w:val="18"/>
        </w:rPr>
        <w:footnoteRef/>
      </w:r>
      <w:r w:rsidRPr="00D34B0F">
        <w:rPr>
          <w:sz w:val="18"/>
          <w:szCs w:val="18"/>
        </w:rPr>
        <w:t xml:space="preserve"> </w:t>
      </w:r>
      <w:hyperlink r:id="rId11" w:history="1">
        <w:r w:rsidRPr="00D34B0F">
          <w:rPr>
            <w:rStyle w:val="Hyperlink"/>
            <w:sz w:val="18"/>
            <w:szCs w:val="18"/>
          </w:rPr>
          <w:t>COM</w:t>
        </w:r>
        <w:r w:rsidR="00B56643" w:rsidRPr="00D34B0F">
          <w:rPr>
            <w:rStyle w:val="Hyperlink"/>
            <w:sz w:val="18"/>
            <w:szCs w:val="18"/>
          </w:rPr>
          <w:t>(</w:t>
        </w:r>
        <w:r w:rsidRPr="00D34B0F">
          <w:rPr>
            <w:rStyle w:val="Hyperlink"/>
            <w:sz w:val="18"/>
            <w:szCs w:val="18"/>
          </w:rPr>
          <w:t>2025</w:t>
        </w:r>
        <w:r w:rsidR="00B56643" w:rsidRPr="00D34B0F">
          <w:rPr>
            <w:rStyle w:val="Hyperlink"/>
            <w:sz w:val="18"/>
            <w:szCs w:val="18"/>
          </w:rPr>
          <w:t xml:space="preserve">) </w:t>
        </w:r>
        <w:r w:rsidRPr="00D34B0F">
          <w:rPr>
            <w:rStyle w:val="Hyperlink"/>
            <w:sz w:val="18"/>
            <w:szCs w:val="18"/>
          </w:rPr>
          <w:t>838 final</w:t>
        </w:r>
      </w:hyperlink>
      <w:r w:rsidR="00B56643" w:rsidRPr="00D34B0F">
        <w:rPr>
          <w:sz w:val="18"/>
          <w:szCs w:val="18"/>
        </w:rPr>
        <w:t>.</w:t>
      </w:r>
    </w:p>
  </w:footnote>
  <w:footnote w:id="21">
    <w:p w14:paraId="4ADF1785" w14:textId="63ED4B1F" w:rsidR="009B74E8" w:rsidRPr="00D34B0F" w:rsidRDefault="009B74E8" w:rsidP="009B74E8">
      <w:pPr>
        <w:pStyle w:val="FootnoteText"/>
        <w:rPr>
          <w:sz w:val="18"/>
          <w:szCs w:val="18"/>
        </w:rPr>
      </w:pPr>
      <w:r w:rsidRPr="00D34B0F">
        <w:rPr>
          <w:rStyle w:val="FootnoteReference"/>
          <w:sz w:val="18"/>
          <w:szCs w:val="18"/>
        </w:rPr>
        <w:footnoteRef/>
      </w:r>
      <w:r w:rsidR="001C3480" w:rsidRPr="00D34B0F">
        <w:rPr>
          <w:sz w:val="18"/>
          <w:szCs w:val="18"/>
        </w:rPr>
        <w:t> </w:t>
      </w:r>
      <w:hyperlink r:id="rId12" w:history="1">
        <w:r w:rsidRPr="00D34B0F">
          <w:rPr>
            <w:rStyle w:val="Hyperlink"/>
            <w:sz w:val="18"/>
            <w:szCs w:val="18"/>
          </w:rPr>
          <w:t>Regulation (EU) 2024/903</w:t>
        </w:r>
      </w:hyperlink>
      <w:r w:rsidR="00A52F91" w:rsidRPr="00D34B0F">
        <w:rPr>
          <w:sz w:val="18"/>
          <w:szCs w:val="18"/>
        </w:rPr>
        <w:t xml:space="preserve"> </w:t>
      </w:r>
      <w:r w:rsidR="00A41E06" w:rsidRPr="00D34B0F">
        <w:rPr>
          <w:sz w:val="18"/>
          <w:szCs w:val="18"/>
        </w:rPr>
        <w:t xml:space="preserve">on </w:t>
      </w:r>
      <w:r w:rsidRPr="00D34B0F">
        <w:rPr>
          <w:sz w:val="18"/>
          <w:szCs w:val="18"/>
        </w:rPr>
        <w:t>laying down measures for a high level of public sector interoperability across the Union (Interoperable Europe Act)</w:t>
      </w:r>
      <w:r w:rsidR="00CC6386" w:rsidRPr="00D34B0F">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0AE24" w14:textId="77777777" w:rsidR="008660A9" w:rsidRPr="008660A9" w:rsidRDefault="008660A9" w:rsidP="008660A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ABD32" w14:textId="77777777" w:rsidR="008660A9" w:rsidRPr="008660A9" w:rsidRDefault="008660A9" w:rsidP="008660A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1AF87" w14:textId="77777777" w:rsidR="008660A9" w:rsidRPr="008660A9" w:rsidRDefault="008660A9" w:rsidP="008660A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EC75F" w14:textId="77777777" w:rsidR="00CB14B2" w:rsidRDefault="00CB14B2" w:rsidP="000E30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5949F" w14:textId="77777777" w:rsidR="00CB14B2" w:rsidRDefault="00CB14B2" w:rsidP="000E30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97551" w14:textId="77777777" w:rsidR="00CB14B2" w:rsidRDefault="00CB14B2" w:rsidP="000E30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F06B2" w14:textId="77777777" w:rsidR="00CB14B2" w:rsidRDefault="00CB14B2" w:rsidP="000E30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46221" w14:textId="77777777" w:rsidR="00CB14B2" w:rsidRDefault="00CB14B2" w:rsidP="000E308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CCA99" w14:textId="77777777" w:rsidR="00CB14B2" w:rsidRDefault="00CB14B2" w:rsidP="000E30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D793A" w14:textId="77777777" w:rsidR="007F23F2" w:rsidRDefault="007F23F2" w:rsidP="000E30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78635" w14:textId="77777777" w:rsidR="007F23F2" w:rsidRDefault="007F23F2" w:rsidP="000E308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Default="00CB14B2" w:rsidP="000E30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Default="00CB14B2" w:rsidP="000E30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Default="00CB14B2"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1092"/>
    <w:multiLevelType w:val="hybridMultilevel"/>
    <w:tmpl w:val="E2DCC7B4"/>
    <w:lvl w:ilvl="0" w:tplc="08090001">
      <w:start w:val="1"/>
      <w:numFmt w:val="bullet"/>
      <w:lvlText w:val=""/>
      <w:lvlJc w:val="left"/>
      <w:pPr>
        <w:ind w:left="664" w:hanging="360"/>
      </w:pPr>
      <w:rPr>
        <w:rFonts w:ascii="Symbol" w:hAnsi="Symbol" w:hint="default"/>
      </w:rPr>
    </w:lvl>
    <w:lvl w:ilvl="1" w:tplc="08090003" w:tentative="1">
      <w:start w:val="1"/>
      <w:numFmt w:val="bullet"/>
      <w:lvlText w:val="o"/>
      <w:lvlJc w:val="left"/>
      <w:pPr>
        <w:ind w:left="1384" w:hanging="360"/>
      </w:pPr>
      <w:rPr>
        <w:rFonts w:ascii="Courier New" w:hAnsi="Courier New" w:cs="Courier New" w:hint="default"/>
      </w:rPr>
    </w:lvl>
    <w:lvl w:ilvl="2" w:tplc="08090005" w:tentative="1">
      <w:start w:val="1"/>
      <w:numFmt w:val="bullet"/>
      <w:lvlText w:val=""/>
      <w:lvlJc w:val="left"/>
      <w:pPr>
        <w:ind w:left="2104" w:hanging="360"/>
      </w:pPr>
      <w:rPr>
        <w:rFonts w:ascii="Wingdings" w:hAnsi="Wingdings" w:hint="default"/>
      </w:rPr>
    </w:lvl>
    <w:lvl w:ilvl="3" w:tplc="08090001" w:tentative="1">
      <w:start w:val="1"/>
      <w:numFmt w:val="bullet"/>
      <w:lvlText w:val=""/>
      <w:lvlJc w:val="left"/>
      <w:pPr>
        <w:ind w:left="2824" w:hanging="360"/>
      </w:pPr>
      <w:rPr>
        <w:rFonts w:ascii="Symbol" w:hAnsi="Symbol" w:hint="default"/>
      </w:rPr>
    </w:lvl>
    <w:lvl w:ilvl="4" w:tplc="08090003" w:tentative="1">
      <w:start w:val="1"/>
      <w:numFmt w:val="bullet"/>
      <w:lvlText w:val="o"/>
      <w:lvlJc w:val="left"/>
      <w:pPr>
        <w:ind w:left="3544" w:hanging="360"/>
      </w:pPr>
      <w:rPr>
        <w:rFonts w:ascii="Courier New" w:hAnsi="Courier New" w:cs="Courier New" w:hint="default"/>
      </w:rPr>
    </w:lvl>
    <w:lvl w:ilvl="5" w:tplc="08090005" w:tentative="1">
      <w:start w:val="1"/>
      <w:numFmt w:val="bullet"/>
      <w:lvlText w:val=""/>
      <w:lvlJc w:val="left"/>
      <w:pPr>
        <w:ind w:left="4264" w:hanging="360"/>
      </w:pPr>
      <w:rPr>
        <w:rFonts w:ascii="Wingdings" w:hAnsi="Wingdings" w:hint="default"/>
      </w:rPr>
    </w:lvl>
    <w:lvl w:ilvl="6" w:tplc="08090001" w:tentative="1">
      <w:start w:val="1"/>
      <w:numFmt w:val="bullet"/>
      <w:lvlText w:val=""/>
      <w:lvlJc w:val="left"/>
      <w:pPr>
        <w:ind w:left="4984" w:hanging="360"/>
      </w:pPr>
      <w:rPr>
        <w:rFonts w:ascii="Symbol" w:hAnsi="Symbol" w:hint="default"/>
      </w:rPr>
    </w:lvl>
    <w:lvl w:ilvl="7" w:tplc="08090003" w:tentative="1">
      <w:start w:val="1"/>
      <w:numFmt w:val="bullet"/>
      <w:lvlText w:val="o"/>
      <w:lvlJc w:val="left"/>
      <w:pPr>
        <w:ind w:left="5704" w:hanging="360"/>
      </w:pPr>
      <w:rPr>
        <w:rFonts w:ascii="Courier New" w:hAnsi="Courier New" w:cs="Courier New" w:hint="default"/>
      </w:rPr>
    </w:lvl>
    <w:lvl w:ilvl="8" w:tplc="08090005" w:tentative="1">
      <w:start w:val="1"/>
      <w:numFmt w:val="bullet"/>
      <w:lvlText w:val=""/>
      <w:lvlJc w:val="left"/>
      <w:pPr>
        <w:ind w:left="6424" w:hanging="360"/>
      </w:pPr>
      <w:rPr>
        <w:rFonts w:ascii="Wingdings" w:hAnsi="Wingdings" w:hint="default"/>
      </w:rPr>
    </w:lvl>
  </w:abstractNum>
  <w:abstractNum w:abstractNumId="1" w15:restartNumberingAfterBreak="0">
    <w:nsid w:val="07085E8A"/>
    <w:multiLevelType w:val="hybridMultilevel"/>
    <w:tmpl w:val="482C3B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413247B"/>
    <w:multiLevelType w:val="hybridMultilevel"/>
    <w:tmpl w:val="BBDED3CE"/>
    <w:lvl w:ilvl="0" w:tplc="0548FF8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4CC2591"/>
    <w:multiLevelType w:val="multilevel"/>
    <w:tmpl w:val="E48A2F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7" w15:restartNumberingAfterBreak="0">
    <w:nsid w:val="4EDA5745"/>
    <w:multiLevelType w:val="hybridMultilevel"/>
    <w:tmpl w:val="62AA6B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F9F4512"/>
    <w:multiLevelType w:val="hybridMultilevel"/>
    <w:tmpl w:val="295E3F02"/>
    <w:lvl w:ilvl="0" w:tplc="66CC0C2A">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0" w15:restartNumberingAfterBreak="0">
    <w:nsid w:val="69262694"/>
    <w:multiLevelType w:val="hybridMultilevel"/>
    <w:tmpl w:val="8C5E69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0"/>
  </w:num>
  <w:num w:numId="9">
    <w:abstractNumId w:val="7"/>
  </w:num>
  <w:num w:numId="10">
    <w:abstractNumId w:val="1"/>
  </w:num>
  <w:num w:numId="11">
    <w:abstractNumId w:val="0"/>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5"/>
  </w:num>
  <w:num w:numId="15">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ACCOMPAGNANT.CP" w:val="Accompanying the document"/>
    <w:docVar w:name="LW_CORRIGENDUM" w:val="&lt;UNUSED&gt;"/>
    <w:docVar w:name="LW_COVERPAGE_EXISTS" w:val="True"/>
    <w:docVar w:name="LW_COVERPAGE_GUID" w:val="CDC423F8-B34E-43F7-B1CA-9C74C4D44313"/>
    <w:docVar w:name="LW_COVERPAGE_TYPE" w:val="1"/>
    <w:docVar w:name="LW_CROSSREFERENCE" w:val="{COM(2026) 321 final} - {SEC(2026) 321 final} - {SWD(2026) 322 final}"/>
    <w:docVar w:name="LW_DocType" w:val="NORMAL"/>
    <w:docVar w:name="LW_EMISSION" w:val="18.3.2026"/>
    <w:docVar w:name="LW_EMISSION_ISODATE" w:val="2026-03-18"/>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THE 28TH REGIME CORPORATE LEGAL FRAMEWORK - 'EU INC'"/>
    <w:docVar w:name="LW_PART_NBR" w:val="2"/>
    <w:docVar w:name="LW_PART_NBR_TOTAL" w:val="3"/>
    <w:docVar w:name="LW_REF.INST.NEW" w:val="SWD"/>
    <w:docVar w:name="LW_REF.INST.NEW_ADOPTED" w:val="final"/>
    <w:docVar w:name="LW_REF.INST.NEW_TEXT" w:val="(2026) 3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nnexes"/>
    <w:docVar w:name="LW_TYPE.DOC.CP" w:val="COMMISSION STAFF WORKING DOCUMENT_x000b__x000b_IMPACT ASSESSMENT REPORT_x000b_"/>
    <w:docVar w:name="LW_TYPEACTEPRINCIPAL.CP" w:val="Proposal for a REGULATION OF THE EUROPEAN PARLIAMENT AND OF THE COUNCIL"/>
    <w:docVar w:name="LwApiVersions" w:val="LW4CoDe 1.24.5.0; LW 9.2, Build 20251112"/>
  </w:docVars>
  <w:rsids>
    <w:rsidRoot w:val="006B087E"/>
    <w:rsid w:val="000005C1"/>
    <w:rsid w:val="000006EC"/>
    <w:rsid w:val="00000708"/>
    <w:rsid w:val="00000994"/>
    <w:rsid w:val="00000A92"/>
    <w:rsid w:val="00000E0B"/>
    <w:rsid w:val="00001293"/>
    <w:rsid w:val="00001303"/>
    <w:rsid w:val="00001489"/>
    <w:rsid w:val="00001817"/>
    <w:rsid w:val="00001969"/>
    <w:rsid w:val="00002159"/>
    <w:rsid w:val="00002236"/>
    <w:rsid w:val="000023C3"/>
    <w:rsid w:val="0000261F"/>
    <w:rsid w:val="00002703"/>
    <w:rsid w:val="00002937"/>
    <w:rsid w:val="000029A0"/>
    <w:rsid w:val="00002B53"/>
    <w:rsid w:val="00002C43"/>
    <w:rsid w:val="0000305E"/>
    <w:rsid w:val="00003143"/>
    <w:rsid w:val="00003184"/>
    <w:rsid w:val="000034E0"/>
    <w:rsid w:val="00003506"/>
    <w:rsid w:val="00003642"/>
    <w:rsid w:val="00003918"/>
    <w:rsid w:val="000040F7"/>
    <w:rsid w:val="000043A3"/>
    <w:rsid w:val="00004441"/>
    <w:rsid w:val="000049D1"/>
    <w:rsid w:val="00004B73"/>
    <w:rsid w:val="00004C33"/>
    <w:rsid w:val="00004CB5"/>
    <w:rsid w:val="00004D13"/>
    <w:rsid w:val="00004DA3"/>
    <w:rsid w:val="0000514B"/>
    <w:rsid w:val="00005151"/>
    <w:rsid w:val="00005808"/>
    <w:rsid w:val="00005978"/>
    <w:rsid w:val="00005A10"/>
    <w:rsid w:val="00005B97"/>
    <w:rsid w:val="00005BBB"/>
    <w:rsid w:val="00005DE2"/>
    <w:rsid w:val="00005FAA"/>
    <w:rsid w:val="00006495"/>
    <w:rsid w:val="000064B8"/>
    <w:rsid w:val="0000657D"/>
    <w:rsid w:val="00006CD0"/>
    <w:rsid w:val="000071E0"/>
    <w:rsid w:val="0000752D"/>
    <w:rsid w:val="000078BE"/>
    <w:rsid w:val="00007BC6"/>
    <w:rsid w:val="00007C17"/>
    <w:rsid w:val="00007D55"/>
    <w:rsid w:val="00007FC5"/>
    <w:rsid w:val="00010289"/>
    <w:rsid w:val="00010430"/>
    <w:rsid w:val="000106A0"/>
    <w:rsid w:val="000107B3"/>
    <w:rsid w:val="000108CC"/>
    <w:rsid w:val="00010B54"/>
    <w:rsid w:val="000111DC"/>
    <w:rsid w:val="000117AD"/>
    <w:rsid w:val="0001188C"/>
    <w:rsid w:val="00011ADB"/>
    <w:rsid w:val="00011C0C"/>
    <w:rsid w:val="00012000"/>
    <w:rsid w:val="000130A5"/>
    <w:rsid w:val="0001345F"/>
    <w:rsid w:val="00013516"/>
    <w:rsid w:val="0001363C"/>
    <w:rsid w:val="00013669"/>
    <w:rsid w:val="0001373F"/>
    <w:rsid w:val="00014020"/>
    <w:rsid w:val="00014529"/>
    <w:rsid w:val="00014553"/>
    <w:rsid w:val="00014E94"/>
    <w:rsid w:val="000150B4"/>
    <w:rsid w:val="00015125"/>
    <w:rsid w:val="00015333"/>
    <w:rsid w:val="00015562"/>
    <w:rsid w:val="00015607"/>
    <w:rsid w:val="00015612"/>
    <w:rsid w:val="0001586B"/>
    <w:rsid w:val="00015B75"/>
    <w:rsid w:val="00015C7C"/>
    <w:rsid w:val="00015E6F"/>
    <w:rsid w:val="00015F86"/>
    <w:rsid w:val="000160E3"/>
    <w:rsid w:val="0001624F"/>
    <w:rsid w:val="000165D0"/>
    <w:rsid w:val="000167B8"/>
    <w:rsid w:val="00016826"/>
    <w:rsid w:val="00016C8F"/>
    <w:rsid w:val="00016DAE"/>
    <w:rsid w:val="0001712E"/>
    <w:rsid w:val="00017494"/>
    <w:rsid w:val="00017A4B"/>
    <w:rsid w:val="00017B57"/>
    <w:rsid w:val="00017E31"/>
    <w:rsid w:val="00017EF1"/>
    <w:rsid w:val="00017F70"/>
    <w:rsid w:val="00020547"/>
    <w:rsid w:val="00020C26"/>
    <w:rsid w:val="00020CA1"/>
    <w:rsid w:val="00021125"/>
    <w:rsid w:val="0002155D"/>
    <w:rsid w:val="00021648"/>
    <w:rsid w:val="00021822"/>
    <w:rsid w:val="00021909"/>
    <w:rsid w:val="000219EF"/>
    <w:rsid w:val="00021ADD"/>
    <w:rsid w:val="00021FDD"/>
    <w:rsid w:val="00022117"/>
    <w:rsid w:val="00022488"/>
    <w:rsid w:val="000225FB"/>
    <w:rsid w:val="0002266E"/>
    <w:rsid w:val="00022BEA"/>
    <w:rsid w:val="00022E83"/>
    <w:rsid w:val="00022F10"/>
    <w:rsid w:val="000234DC"/>
    <w:rsid w:val="00023549"/>
    <w:rsid w:val="00023699"/>
    <w:rsid w:val="00023A65"/>
    <w:rsid w:val="00023C78"/>
    <w:rsid w:val="00023CAD"/>
    <w:rsid w:val="00023DB8"/>
    <w:rsid w:val="00023E40"/>
    <w:rsid w:val="00024158"/>
    <w:rsid w:val="000241CC"/>
    <w:rsid w:val="0002423B"/>
    <w:rsid w:val="00024661"/>
    <w:rsid w:val="000247E4"/>
    <w:rsid w:val="00024885"/>
    <w:rsid w:val="000248FB"/>
    <w:rsid w:val="00024912"/>
    <w:rsid w:val="00024CB0"/>
    <w:rsid w:val="00024F0D"/>
    <w:rsid w:val="00024F1A"/>
    <w:rsid w:val="00024F75"/>
    <w:rsid w:val="00025579"/>
    <w:rsid w:val="00025731"/>
    <w:rsid w:val="000258FB"/>
    <w:rsid w:val="00025A0D"/>
    <w:rsid w:val="00025AB6"/>
    <w:rsid w:val="00025C84"/>
    <w:rsid w:val="00025D60"/>
    <w:rsid w:val="000260B2"/>
    <w:rsid w:val="000260DE"/>
    <w:rsid w:val="00026115"/>
    <w:rsid w:val="00026485"/>
    <w:rsid w:val="000266CC"/>
    <w:rsid w:val="00026F69"/>
    <w:rsid w:val="00027069"/>
    <w:rsid w:val="0002708C"/>
    <w:rsid w:val="00027242"/>
    <w:rsid w:val="00027432"/>
    <w:rsid w:val="00027681"/>
    <w:rsid w:val="00027842"/>
    <w:rsid w:val="00027847"/>
    <w:rsid w:val="00027948"/>
    <w:rsid w:val="00030180"/>
    <w:rsid w:val="00030945"/>
    <w:rsid w:val="00030A28"/>
    <w:rsid w:val="00030A95"/>
    <w:rsid w:val="00030B9E"/>
    <w:rsid w:val="00030DC1"/>
    <w:rsid w:val="00030EC3"/>
    <w:rsid w:val="00030F39"/>
    <w:rsid w:val="00031327"/>
    <w:rsid w:val="00031624"/>
    <w:rsid w:val="0003171F"/>
    <w:rsid w:val="000318DF"/>
    <w:rsid w:val="00031987"/>
    <w:rsid w:val="00031B95"/>
    <w:rsid w:val="00031BF4"/>
    <w:rsid w:val="00031C32"/>
    <w:rsid w:val="00031DF2"/>
    <w:rsid w:val="0003204C"/>
    <w:rsid w:val="00032234"/>
    <w:rsid w:val="0003255B"/>
    <w:rsid w:val="0003284B"/>
    <w:rsid w:val="00032A50"/>
    <w:rsid w:val="00032DFB"/>
    <w:rsid w:val="00032FCB"/>
    <w:rsid w:val="000333BE"/>
    <w:rsid w:val="000334F3"/>
    <w:rsid w:val="00033997"/>
    <w:rsid w:val="00033F0E"/>
    <w:rsid w:val="00033F71"/>
    <w:rsid w:val="0003408A"/>
    <w:rsid w:val="00034321"/>
    <w:rsid w:val="0003446C"/>
    <w:rsid w:val="0003453E"/>
    <w:rsid w:val="00034624"/>
    <w:rsid w:val="0003476C"/>
    <w:rsid w:val="00034E89"/>
    <w:rsid w:val="00034FAB"/>
    <w:rsid w:val="00034FBA"/>
    <w:rsid w:val="00035199"/>
    <w:rsid w:val="00035566"/>
    <w:rsid w:val="0003558D"/>
    <w:rsid w:val="00035FB3"/>
    <w:rsid w:val="00036434"/>
    <w:rsid w:val="000364D8"/>
    <w:rsid w:val="00036699"/>
    <w:rsid w:val="00036A40"/>
    <w:rsid w:val="00036C03"/>
    <w:rsid w:val="00036D6B"/>
    <w:rsid w:val="00036D81"/>
    <w:rsid w:val="00036E36"/>
    <w:rsid w:val="00036E5E"/>
    <w:rsid w:val="00037253"/>
    <w:rsid w:val="000377C2"/>
    <w:rsid w:val="00037873"/>
    <w:rsid w:val="000378E4"/>
    <w:rsid w:val="00037A61"/>
    <w:rsid w:val="00040098"/>
    <w:rsid w:val="00040645"/>
    <w:rsid w:val="0004083D"/>
    <w:rsid w:val="00040BEB"/>
    <w:rsid w:val="00040C64"/>
    <w:rsid w:val="00040EA0"/>
    <w:rsid w:val="00040F4F"/>
    <w:rsid w:val="000412B5"/>
    <w:rsid w:val="00041C32"/>
    <w:rsid w:val="00041EED"/>
    <w:rsid w:val="00041F32"/>
    <w:rsid w:val="00041FDF"/>
    <w:rsid w:val="000426CE"/>
    <w:rsid w:val="00042741"/>
    <w:rsid w:val="000427A1"/>
    <w:rsid w:val="000427CC"/>
    <w:rsid w:val="000428B2"/>
    <w:rsid w:val="00042D9D"/>
    <w:rsid w:val="00042E4D"/>
    <w:rsid w:val="0004300A"/>
    <w:rsid w:val="000435E8"/>
    <w:rsid w:val="000436C1"/>
    <w:rsid w:val="00043862"/>
    <w:rsid w:val="00043B93"/>
    <w:rsid w:val="00043CD3"/>
    <w:rsid w:val="00043D95"/>
    <w:rsid w:val="00043F93"/>
    <w:rsid w:val="000441BE"/>
    <w:rsid w:val="000444A2"/>
    <w:rsid w:val="00044678"/>
    <w:rsid w:val="00044859"/>
    <w:rsid w:val="0004496D"/>
    <w:rsid w:val="00044D58"/>
    <w:rsid w:val="00044F28"/>
    <w:rsid w:val="000454B5"/>
    <w:rsid w:val="000457D4"/>
    <w:rsid w:val="00045DBA"/>
    <w:rsid w:val="00045DBB"/>
    <w:rsid w:val="00045E3D"/>
    <w:rsid w:val="00045F95"/>
    <w:rsid w:val="000461AC"/>
    <w:rsid w:val="000462BC"/>
    <w:rsid w:val="00046608"/>
    <w:rsid w:val="000466DB"/>
    <w:rsid w:val="000469C3"/>
    <w:rsid w:val="00046BF7"/>
    <w:rsid w:val="00046EDC"/>
    <w:rsid w:val="00046F37"/>
    <w:rsid w:val="00047F45"/>
    <w:rsid w:val="00050204"/>
    <w:rsid w:val="0005058D"/>
    <w:rsid w:val="000507A8"/>
    <w:rsid w:val="00050B77"/>
    <w:rsid w:val="00050BE7"/>
    <w:rsid w:val="000514D2"/>
    <w:rsid w:val="000517E9"/>
    <w:rsid w:val="00051A43"/>
    <w:rsid w:val="00051BA0"/>
    <w:rsid w:val="00051ED8"/>
    <w:rsid w:val="00051FD6"/>
    <w:rsid w:val="000522ED"/>
    <w:rsid w:val="00052615"/>
    <w:rsid w:val="000529FF"/>
    <w:rsid w:val="00052AA7"/>
    <w:rsid w:val="00052B78"/>
    <w:rsid w:val="00052B95"/>
    <w:rsid w:val="00052D3C"/>
    <w:rsid w:val="0005376B"/>
    <w:rsid w:val="000537D7"/>
    <w:rsid w:val="000540D2"/>
    <w:rsid w:val="000540F7"/>
    <w:rsid w:val="000541B8"/>
    <w:rsid w:val="000542CA"/>
    <w:rsid w:val="000548D7"/>
    <w:rsid w:val="0005551E"/>
    <w:rsid w:val="00055A85"/>
    <w:rsid w:val="00055B5D"/>
    <w:rsid w:val="00055F82"/>
    <w:rsid w:val="00056176"/>
    <w:rsid w:val="000564E2"/>
    <w:rsid w:val="000565D7"/>
    <w:rsid w:val="0005661E"/>
    <w:rsid w:val="0005662F"/>
    <w:rsid w:val="00056A23"/>
    <w:rsid w:val="000573B0"/>
    <w:rsid w:val="000573D0"/>
    <w:rsid w:val="00057443"/>
    <w:rsid w:val="000575B9"/>
    <w:rsid w:val="000575D7"/>
    <w:rsid w:val="00057635"/>
    <w:rsid w:val="0005776A"/>
    <w:rsid w:val="00057916"/>
    <w:rsid w:val="00057BF9"/>
    <w:rsid w:val="00057E05"/>
    <w:rsid w:val="00057FB4"/>
    <w:rsid w:val="00060466"/>
    <w:rsid w:val="000607B4"/>
    <w:rsid w:val="000607DD"/>
    <w:rsid w:val="00060808"/>
    <w:rsid w:val="0006097B"/>
    <w:rsid w:val="00060B41"/>
    <w:rsid w:val="000611A6"/>
    <w:rsid w:val="0006126E"/>
    <w:rsid w:val="00061D8D"/>
    <w:rsid w:val="00062B84"/>
    <w:rsid w:val="00062BB0"/>
    <w:rsid w:val="00063421"/>
    <w:rsid w:val="000634AA"/>
    <w:rsid w:val="000636BC"/>
    <w:rsid w:val="000636DD"/>
    <w:rsid w:val="00063895"/>
    <w:rsid w:val="00063AD1"/>
    <w:rsid w:val="00063C6F"/>
    <w:rsid w:val="00063D4A"/>
    <w:rsid w:val="00063DE8"/>
    <w:rsid w:val="00064463"/>
    <w:rsid w:val="000645B7"/>
    <w:rsid w:val="000645CA"/>
    <w:rsid w:val="0006463F"/>
    <w:rsid w:val="000648FF"/>
    <w:rsid w:val="00064989"/>
    <w:rsid w:val="00064A53"/>
    <w:rsid w:val="00064C76"/>
    <w:rsid w:val="00064EAC"/>
    <w:rsid w:val="000653D1"/>
    <w:rsid w:val="000654CD"/>
    <w:rsid w:val="00066305"/>
    <w:rsid w:val="000663FD"/>
    <w:rsid w:val="00066650"/>
    <w:rsid w:val="00066C72"/>
    <w:rsid w:val="00066CDD"/>
    <w:rsid w:val="00067001"/>
    <w:rsid w:val="0006708B"/>
    <w:rsid w:val="00067449"/>
    <w:rsid w:val="000675B6"/>
    <w:rsid w:val="00070689"/>
    <w:rsid w:val="00070ABE"/>
    <w:rsid w:val="00070C0A"/>
    <w:rsid w:val="0007109B"/>
    <w:rsid w:val="0007127E"/>
    <w:rsid w:val="00071BB9"/>
    <w:rsid w:val="00071C57"/>
    <w:rsid w:val="00071C8F"/>
    <w:rsid w:val="00072011"/>
    <w:rsid w:val="00072391"/>
    <w:rsid w:val="0007247E"/>
    <w:rsid w:val="000726E6"/>
    <w:rsid w:val="00072C84"/>
    <w:rsid w:val="00072CFF"/>
    <w:rsid w:val="00072D2C"/>
    <w:rsid w:val="00072DE9"/>
    <w:rsid w:val="00072FDE"/>
    <w:rsid w:val="0007315B"/>
    <w:rsid w:val="00073225"/>
    <w:rsid w:val="000738B4"/>
    <w:rsid w:val="00073C1F"/>
    <w:rsid w:val="00073C78"/>
    <w:rsid w:val="00073F55"/>
    <w:rsid w:val="000741CF"/>
    <w:rsid w:val="000741DF"/>
    <w:rsid w:val="0007423D"/>
    <w:rsid w:val="00074599"/>
    <w:rsid w:val="00074CEF"/>
    <w:rsid w:val="00074FFD"/>
    <w:rsid w:val="000759E4"/>
    <w:rsid w:val="000761EE"/>
    <w:rsid w:val="0007638D"/>
    <w:rsid w:val="00076402"/>
    <w:rsid w:val="0007677E"/>
    <w:rsid w:val="000769E3"/>
    <w:rsid w:val="00076CFE"/>
    <w:rsid w:val="0007729D"/>
    <w:rsid w:val="000777D6"/>
    <w:rsid w:val="00077D16"/>
    <w:rsid w:val="00077F81"/>
    <w:rsid w:val="00080035"/>
    <w:rsid w:val="00080235"/>
    <w:rsid w:val="0008030C"/>
    <w:rsid w:val="0008076A"/>
    <w:rsid w:val="00080DA2"/>
    <w:rsid w:val="00080F17"/>
    <w:rsid w:val="00081040"/>
    <w:rsid w:val="0008107E"/>
    <w:rsid w:val="000810AE"/>
    <w:rsid w:val="00081599"/>
    <w:rsid w:val="000817AF"/>
    <w:rsid w:val="00081DA4"/>
    <w:rsid w:val="00081DF8"/>
    <w:rsid w:val="00081E33"/>
    <w:rsid w:val="000826D6"/>
    <w:rsid w:val="0008292B"/>
    <w:rsid w:val="00082B5F"/>
    <w:rsid w:val="00082B79"/>
    <w:rsid w:val="00082C30"/>
    <w:rsid w:val="00082C37"/>
    <w:rsid w:val="0008309A"/>
    <w:rsid w:val="00083246"/>
    <w:rsid w:val="00084A0E"/>
    <w:rsid w:val="00084CB3"/>
    <w:rsid w:val="000852EA"/>
    <w:rsid w:val="0008533A"/>
    <w:rsid w:val="0008548D"/>
    <w:rsid w:val="00085521"/>
    <w:rsid w:val="000857B4"/>
    <w:rsid w:val="000857D1"/>
    <w:rsid w:val="00085AB2"/>
    <w:rsid w:val="00085BAB"/>
    <w:rsid w:val="00085BBF"/>
    <w:rsid w:val="00085DB5"/>
    <w:rsid w:val="00086790"/>
    <w:rsid w:val="000868F8"/>
    <w:rsid w:val="000870BA"/>
    <w:rsid w:val="00087320"/>
    <w:rsid w:val="00087367"/>
    <w:rsid w:val="00087BC5"/>
    <w:rsid w:val="00087C49"/>
    <w:rsid w:val="00090351"/>
    <w:rsid w:val="0009081C"/>
    <w:rsid w:val="0009083C"/>
    <w:rsid w:val="00090997"/>
    <w:rsid w:val="00090D1E"/>
    <w:rsid w:val="00090D7A"/>
    <w:rsid w:val="00090E2D"/>
    <w:rsid w:val="00090E5A"/>
    <w:rsid w:val="00090E92"/>
    <w:rsid w:val="0009113B"/>
    <w:rsid w:val="00091191"/>
    <w:rsid w:val="000912B7"/>
    <w:rsid w:val="000914B7"/>
    <w:rsid w:val="000914F8"/>
    <w:rsid w:val="000916C6"/>
    <w:rsid w:val="0009187B"/>
    <w:rsid w:val="00091924"/>
    <w:rsid w:val="00091A24"/>
    <w:rsid w:val="000923AB"/>
    <w:rsid w:val="00092467"/>
    <w:rsid w:val="00092651"/>
    <w:rsid w:val="000926F2"/>
    <w:rsid w:val="00092E39"/>
    <w:rsid w:val="00093012"/>
    <w:rsid w:val="000933AD"/>
    <w:rsid w:val="000933E7"/>
    <w:rsid w:val="000938D4"/>
    <w:rsid w:val="00093A63"/>
    <w:rsid w:val="00093B22"/>
    <w:rsid w:val="00093B98"/>
    <w:rsid w:val="00093D0A"/>
    <w:rsid w:val="000941C6"/>
    <w:rsid w:val="000944E6"/>
    <w:rsid w:val="00094814"/>
    <w:rsid w:val="00095499"/>
    <w:rsid w:val="00095851"/>
    <w:rsid w:val="00095BCB"/>
    <w:rsid w:val="00095D74"/>
    <w:rsid w:val="000962F0"/>
    <w:rsid w:val="0009637B"/>
    <w:rsid w:val="00097095"/>
    <w:rsid w:val="000970D9"/>
    <w:rsid w:val="000972BE"/>
    <w:rsid w:val="000978BF"/>
    <w:rsid w:val="0009793A"/>
    <w:rsid w:val="00097985"/>
    <w:rsid w:val="00097B6B"/>
    <w:rsid w:val="00097D83"/>
    <w:rsid w:val="000A00B3"/>
    <w:rsid w:val="000A0646"/>
    <w:rsid w:val="000A0753"/>
    <w:rsid w:val="000A0A20"/>
    <w:rsid w:val="000A0AFB"/>
    <w:rsid w:val="000A0B15"/>
    <w:rsid w:val="000A0B50"/>
    <w:rsid w:val="000A10D8"/>
    <w:rsid w:val="000A10E9"/>
    <w:rsid w:val="000A124C"/>
    <w:rsid w:val="000A17E8"/>
    <w:rsid w:val="000A1A02"/>
    <w:rsid w:val="000A1DEA"/>
    <w:rsid w:val="000A1E04"/>
    <w:rsid w:val="000A1EBF"/>
    <w:rsid w:val="000A2117"/>
    <w:rsid w:val="000A26A3"/>
    <w:rsid w:val="000A2AD4"/>
    <w:rsid w:val="000A2BDB"/>
    <w:rsid w:val="000A2D62"/>
    <w:rsid w:val="000A34C8"/>
    <w:rsid w:val="000A36AF"/>
    <w:rsid w:val="000A374F"/>
    <w:rsid w:val="000A394A"/>
    <w:rsid w:val="000A3D91"/>
    <w:rsid w:val="000A3FBC"/>
    <w:rsid w:val="000A4524"/>
    <w:rsid w:val="000A4628"/>
    <w:rsid w:val="000A484A"/>
    <w:rsid w:val="000A4924"/>
    <w:rsid w:val="000A4AD5"/>
    <w:rsid w:val="000A4C58"/>
    <w:rsid w:val="000A5043"/>
    <w:rsid w:val="000A5146"/>
    <w:rsid w:val="000A521B"/>
    <w:rsid w:val="000A53BE"/>
    <w:rsid w:val="000A53C5"/>
    <w:rsid w:val="000A53EB"/>
    <w:rsid w:val="000A54D9"/>
    <w:rsid w:val="000A5957"/>
    <w:rsid w:val="000A5A6D"/>
    <w:rsid w:val="000A5B80"/>
    <w:rsid w:val="000A60EC"/>
    <w:rsid w:val="000A68E3"/>
    <w:rsid w:val="000A6A73"/>
    <w:rsid w:val="000A6D40"/>
    <w:rsid w:val="000A7138"/>
    <w:rsid w:val="000A729F"/>
    <w:rsid w:val="000A7472"/>
    <w:rsid w:val="000A7780"/>
    <w:rsid w:val="000A7783"/>
    <w:rsid w:val="000A79E6"/>
    <w:rsid w:val="000A7AC7"/>
    <w:rsid w:val="000A7D4C"/>
    <w:rsid w:val="000B0463"/>
    <w:rsid w:val="000B064E"/>
    <w:rsid w:val="000B0866"/>
    <w:rsid w:val="000B0C03"/>
    <w:rsid w:val="000B0D0F"/>
    <w:rsid w:val="000B0D8E"/>
    <w:rsid w:val="000B0F4C"/>
    <w:rsid w:val="000B0F8E"/>
    <w:rsid w:val="000B13F8"/>
    <w:rsid w:val="000B1692"/>
    <w:rsid w:val="000B1731"/>
    <w:rsid w:val="000B17BE"/>
    <w:rsid w:val="000B1B19"/>
    <w:rsid w:val="000B1CBB"/>
    <w:rsid w:val="000B1FAF"/>
    <w:rsid w:val="000B20B1"/>
    <w:rsid w:val="000B22DF"/>
    <w:rsid w:val="000B231D"/>
    <w:rsid w:val="000B2B0D"/>
    <w:rsid w:val="000B2E92"/>
    <w:rsid w:val="000B31D1"/>
    <w:rsid w:val="000B39BE"/>
    <w:rsid w:val="000B3FF7"/>
    <w:rsid w:val="000B473F"/>
    <w:rsid w:val="000B4C80"/>
    <w:rsid w:val="000B5028"/>
    <w:rsid w:val="000B5049"/>
    <w:rsid w:val="000B50FB"/>
    <w:rsid w:val="000B51A0"/>
    <w:rsid w:val="000B538A"/>
    <w:rsid w:val="000B54A0"/>
    <w:rsid w:val="000B55E0"/>
    <w:rsid w:val="000B5652"/>
    <w:rsid w:val="000B5AD8"/>
    <w:rsid w:val="000B6071"/>
    <w:rsid w:val="000B608C"/>
    <w:rsid w:val="000B63BE"/>
    <w:rsid w:val="000B65E9"/>
    <w:rsid w:val="000B6A11"/>
    <w:rsid w:val="000B6A6B"/>
    <w:rsid w:val="000B6BBC"/>
    <w:rsid w:val="000B6C76"/>
    <w:rsid w:val="000B73F5"/>
    <w:rsid w:val="000B7430"/>
    <w:rsid w:val="000B7482"/>
    <w:rsid w:val="000B7841"/>
    <w:rsid w:val="000B7933"/>
    <w:rsid w:val="000C0289"/>
    <w:rsid w:val="000C04C4"/>
    <w:rsid w:val="000C05F6"/>
    <w:rsid w:val="000C072D"/>
    <w:rsid w:val="000C0CD6"/>
    <w:rsid w:val="000C0DAE"/>
    <w:rsid w:val="000C0F4B"/>
    <w:rsid w:val="000C0FA7"/>
    <w:rsid w:val="000C114F"/>
    <w:rsid w:val="000C122A"/>
    <w:rsid w:val="000C12F3"/>
    <w:rsid w:val="000C1497"/>
    <w:rsid w:val="000C1C04"/>
    <w:rsid w:val="000C1FA0"/>
    <w:rsid w:val="000C2281"/>
    <w:rsid w:val="000C2407"/>
    <w:rsid w:val="000C24D3"/>
    <w:rsid w:val="000C280E"/>
    <w:rsid w:val="000C2917"/>
    <w:rsid w:val="000C2A14"/>
    <w:rsid w:val="000C31B1"/>
    <w:rsid w:val="000C3435"/>
    <w:rsid w:val="000C396B"/>
    <w:rsid w:val="000C3A98"/>
    <w:rsid w:val="000C3A9F"/>
    <w:rsid w:val="000C3FD7"/>
    <w:rsid w:val="000C4162"/>
    <w:rsid w:val="000C41B7"/>
    <w:rsid w:val="000C43CD"/>
    <w:rsid w:val="000C44FF"/>
    <w:rsid w:val="000C4858"/>
    <w:rsid w:val="000C49C7"/>
    <w:rsid w:val="000C4B06"/>
    <w:rsid w:val="000C4D9A"/>
    <w:rsid w:val="000C4EC9"/>
    <w:rsid w:val="000C4EF7"/>
    <w:rsid w:val="000C5055"/>
    <w:rsid w:val="000C5182"/>
    <w:rsid w:val="000C5264"/>
    <w:rsid w:val="000C542F"/>
    <w:rsid w:val="000C550C"/>
    <w:rsid w:val="000C5691"/>
    <w:rsid w:val="000C58B8"/>
    <w:rsid w:val="000C59A7"/>
    <w:rsid w:val="000C5F55"/>
    <w:rsid w:val="000C60B3"/>
    <w:rsid w:val="000C62E9"/>
    <w:rsid w:val="000C6417"/>
    <w:rsid w:val="000C67E3"/>
    <w:rsid w:val="000C68C8"/>
    <w:rsid w:val="000C6933"/>
    <w:rsid w:val="000C69DD"/>
    <w:rsid w:val="000C7311"/>
    <w:rsid w:val="000C74F1"/>
    <w:rsid w:val="000C79F9"/>
    <w:rsid w:val="000D0070"/>
    <w:rsid w:val="000D033C"/>
    <w:rsid w:val="000D0776"/>
    <w:rsid w:val="000D0AD5"/>
    <w:rsid w:val="000D0D11"/>
    <w:rsid w:val="000D0E2E"/>
    <w:rsid w:val="000D1225"/>
    <w:rsid w:val="000D141B"/>
    <w:rsid w:val="000D15C1"/>
    <w:rsid w:val="000D19D5"/>
    <w:rsid w:val="000D1C5D"/>
    <w:rsid w:val="000D1F69"/>
    <w:rsid w:val="000D20F2"/>
    <w:rsid w:val="000D213B"/>
    <w:rsid w:val="000D2157"/>
    <w:rsid w:val="000D27DD"/>
    <w:rsid w:val="000D2BAE"/>
    <w:rsid w:val="000D2F73"/>
    <w:rsid w:val="000D2FB7"/>
    <w:rsid w:val="000D30AE"/>
    <w:rsid w:val="000D34B8"/>
    <w:rsid w:val="000D3701"/>
    <w:rsid w:val="000D3729"/>
    <w:rsid w:val="000D3885"/>
    <w:rsid w:val="000D3962"/>
    <w:rsid w:val="000D3B70"/>
    <w:rsid w:val="000D3D1D"/>
    <w:rsid w:val="000D3D8E"/>
    <w:rsid w:val="000D4598"/>
    <w:rsid w:val="000D4B0B"/>
    <w:rsid w:val="000D4B64"/>
    <w:rsid w:val="000D5029"/>
    <w:rsid w:val="000D52DB"/>
    <w:rsid w:val="000D560A"/>
    <w:rsid w:val="000D59E9"/>
    <w:rsid w:val="000D5D08"/>
    <w:rsid w:val="000D5E06"/>
    <w:rsid w:val="000D67B1"/>
    <w:rsid w:val="000D6E26"/>
    <w:rsid w:val="000D7044"/>
    <w:rsid w:val="000D7A67"/>
    <w:rsid w:val="000E0050"/>
    <w:rsid w:val="000E044F"/>
    <w:rsid w:val="000E08F2"/>
    <w:rsid w:val="000E0D7C"/>
    <w:rsid w:val="000E11E5"/>
    <w:rsid w:val="000E1224"/>
    <w:rsid w:val="000E1312"/>
    <w:rsid w:val="000E1CF4"/>
    <w:rsid w:val="000E2025"/>
    <w:rsid w:val="000E20EA"/>
    <w:rsid w:val="000E223A"/>
    <w:rsid w:val="000E2269"/>
    <w:rsid w:val="000E23D1"/>
    <w:rsid w:val="000E23E4"/>
    <w:rsid w:val="000E2596"/>
    <w:rsid w:val="000E25B3"/>
    <w:rsid w:val="000E2948"/>
    <w:rsid w:val="000E29C8"/>
    <w:rsid w:val="000E2B2B"/>
    <w:rsid w:val="000E2CBF"/>
    <w:rsid w:val="000E2F5D"/>
    <w:rsid w:val="000E3086"/>
    <w:rsid w:val="000E33F8"/>
    <w:rsid w:val="000E343D"/>
    <w:rsid w:val="000E345B"/>
    <w:rsid w:val="000E348A"/>
    <w:rsid w:val="000E3AE4"/>
    <w:rsid w:val="000E3C43"/>
    <w:rsid w:val="000E3D34"/>
    <w:rsid w:val="000E4315"/>
    <w:rsid w:val="000E43DB"/>
    <w:rsid w:val="000E4693"/>
    <w:rsid w:val="000E49CA"/>
    <w:rsid w:val="000E4B0B"/>
    <w:rsid w:val="000E5417"/>
    <w:rsid w:val="000E54FD"/>
    <w:rsid w:val="000E5561"/>
    <w:rsid w:val="000E5936"/>
    <w:rsid w:val="000E5C52"/>
    <w:rsid w:val="000E5E93"/>
    <w:rsid w:val="000E61B9"/>
    <w:rsid w:val="000E6537"/>
    <w:rsid w:val="000E691B"/>
    <w:rsid w:val="000E6CA8"/>
    <w:rsid w:val="000E7109"/>
    <w:rsid w:val="000E7193"/>
    <w:rsid w:val="000E7231"/>
    <w:rsid w:val="000E7480"/>
    <w:rsid w:val="000E75AB"/>
    <w:rsid w:val="000E765C"/>
    <w:rsid w:val="000E7AF6"/>
    <w:rsid w:val="000F00DA"/>
    <w:rsid w:val="000F0828"/>
    <w:rsid w:val="000F0984"/>
    <w:rsid w:val="000F0F05"/>
    <w:rsid w:val="000F124B"/>
    <w:rsid w:val="000F137E"/>
    <w:rsid w:val="000F1532"/>
    <w:rsid w:val="000F168F"/>
    <w:rsid w:val="000F19DE"/>
    <w:rsid w:val="000F1ADF"/>
    <w:rsid w:val="000F1B5E"/>
    <w:rsid w:val="000F21F6"/>
    <w:rsid w:val="000F2684"/>
    <w:rsid w:val="000F2700"/>
    <w:rsid w:val="000F2F35"/>
    <w:rsid w:val="000F3129"/>
    <w:rsid w:val="000F31C8"/>
    <w:rsid w:val="000F3227"/>
    <w:rsid w:val="000F38EB"/>
    <w:rsid w:val="000F3AB0"/>
    <w:rsid w:val="000F3CE2"/>
    <w:rsid w:val="000F3D0B"/>
    <w:rsid w:val="000F3DC1"/>
    <w:rsid w:val="000F3FB2"/>
    <w:rsid w:val="000F40C7"/>
    <w:rsid w:val="000F42B6"/>
    <w:rsid w:val="000F43C9"/>
    <w:rsid w:val="000F476C"/>
    <w:rsid w:val="000F4CF5"/>
    <w:rsid w:val="000F4E38"/>
    <w:rsid w:val="000F4FE0"/>
    <w:rsid w:val="000F57D4"/>
    <w:rsid w:val="000F5AA6"/>
    <w:rsid w:val="000F633C"/>
    <w:rsid w:val="000F6AC8"/>
    <w:rsid w:val="000F6C04"/>
    <w:rsid w:val="000F6F61"/>
    <w:rsid w:val="000F77B5"/>
    <w:rsid w:val="000F7893"/>
    <w:rsid w:val="000F7C48"/>
    <w:rsid w:val="000F7C5A"/>
    <w:rsid w:val="000F7D55"/>
    <w:rsid w:val="000F7E7D"/>
    <w:rsid w:val="000F7EA1"/>
    <w:rsid w:val="001001C4"/>
    <w:rsid w:val="0010033F"/>
    <w:rsid w:val="00100618"/>
    <w:rsid w:val="00100B22"/>
    <w:rsid w:val="00100B34"/>
    <w:rsid w:val="00100C19"/>
    <w:rsid w:val="00100C29"/>
    <w:rsid w:val="00100C42"/>
    <w:rsid w:val="00100C82"/>
    <w:rsid w:val="00100EB8"/>
    <w:rsid w:val="00100FDE"/>
    <w:rsid w:val="001013AD"/>
    <w:rsid w:val="00101A1B"/>
    <w:rsid w:val="00101ABE"/>
    <w:rsid w:val="00101BCF"/>
    <w:rsid w:val="00102092"/>
    <w:rsid w:val="00102353"/>
    <w:rsid w:val="001025D5"/>
    <w:rsid w:val="0010278B"/>
    <w:rsid w:val="00102B45"/>
    <w:rsid w:val="00102B97"/>
    <w:rsid w:val="00102F18"/>
    <w:rsid w:val="00103123"/>
    <w:rsid w:val="0010321C"/>
    <w:rsid w:val="00103849"/>
    <w:rsid w:val="00103948"/>
    <w:rsid w:val="00103D61"/>
    <w:rsid w:val="00103DF9"/>
    <w:rsid w:val="00104246"/>
    <w:rsid w:val="0010449F"/>
    <w:rsid w:val="00104513"/>
    <w:rsid w:val="001047FF"/>
    <w:rsid w:val="00104938"/>
    <w:rsid w:val="00104ACE"/>
    <w:rsid w:val="001053BD"/>
    <w:rsid w:val="00105555"/>
    <w:rsid w:val="00105568"/>
    <w:rsid w:val="00105611"/>
    <w:rsid w:val="00105A5D"/>
    <w:rsid w:val="00105A64"/>
    <w:rsid w:val="00105DE6"/>
    <w:rsid w:val="00105E7C"/>
    <w:rsid w:val="00105F24"/>
    <w:rsid w:val="00106455"/>
    <w:rsid w:val="00106F0F"/>
    <w:rsid w:val="001073C7"/>
    <w:rsid w:val="00107463"/>
    <w:rsid w:val="001074E7"/>
    <w:rsid w:val="001075C9"/>
    <w:rsid w:val="00107843"/>
    <w:rsid w:val="00107982"/>
    <w:rsid w:val="00107C5B"/>
    <w:rsid w:val="00107D08"/>
    <w:rsid w:val="00110864"/>
    <w:rsid w:val="00110EDE"/>
    <w:rsid w:val="001112CA"/>
    <w:rsid w:val="001113C3"/>
    <w:rsid w:val="00111B0E"/>
    <w:rsid w:val="00111D00"/>
    <w:rsid w:val="001123FF"/>
    <w:rsid w:val="00112429"/>
    <w:rsid w:val="0011275E"/>
    <w:rsid w:val="0011285D"/>
    <w:rsid w:val="00112E07"/>
    <w:rsid w:val="00112F6D"/>
    <w:rsid w:val="0011303F"/>
    <w:rsid w:val="001130C3"/>
    <w:rsid w:val="001134F9"/>
    <w:rsid w:val="001134FC"/>
    <w:rsid w:val="00113782"/>
    <w:rsid w:val="001138A2"/>
    <w:rsid w:val="00114089"/>
    <w:rsid w:val="001144E6"/>
    <w:rsid w:val="00114524"/>
    <w:rsid w:val="00114662"/>
    <w:rsid w:val="00114BE9"/>
    <w:rsid w:val="00114C05"/>
    <w:rsid w:val="00114C5F"/>
    <w:rsid w:val="00114EED"/>
    <w:rsid w:val="001157A0"/>
    <w:rsid w:val="00115826"/>
    <w:rsid w:val="00116129"/>
    <w:rsid w:val="0011636A"/>
    <w:rsid w:val="00116958"/>
    <w:rsid w:val="00116F74"/>
    <w:rsid w:val="00117516"/>
    <w:rsid w:val="001177DD"/>
    <w:rsid w:val="0011783B"/>
    <w:rsid w:val="00117954"/>
    <w:rsid w:val="0011795F"/>
    <w:rsid w:val="00120075"/>
    <w:rsid w:val="00120113"/>
    <w:rsid w:val="001201DE"/>
    <w:rsid w:val="00120372"/>
    <w:rsid w:val="001208D5"/>
    <w:rsid w:val="00121060"/>
    <w:rsid w:val="001212F4"/>
    <w:rsid w:val="001213E2"/>
    <w:rsid w:val="00121767"/>
    <w:rsid w:val="00121A87"/>
    <w:rsid w:val="00121AA1"/>
    <w:rsid w:val="00121B38"/>
    <w:rsid w:val="00121D5A"/>
    <w:rsid w:val="00121D6C"/>
    <w:rsid w:val="00121D7A"/>
    <w:rsid w:val="00121E37"/>
    <w:rsid w:val="00121F98"/>
    <w:rsid w:val="001223D6"/>
    <w:rsid w:val="0012270B"/>
    <w:rsid w:val="001227BA"/>
    <w:rsid w:val="00122AEF"/>
    <w:rsid w:val="00122D8F"/>
    <w:rsid w:val="00123076"/>
    <w:rsid w:val="00123456"/>
    <w:rsid w:val="00123523"/>
    <w:rsid w:val="0012369C"/>
    <w:rsid w:val="001236B3"/>
    <w:rsid w:val="00123772"/>
    <w:rsid w:val="00123845"/>
    <w:rsid w:val="001238A1"/>
    <w:rsid w:val="001238B9"/>
    <w:rsid w:val="001238F0"/>
    <w:rsid w:val="00124326"/>
    <w:rsid w:val="001244E6"/>
    <w:rsid w:val="0012462F"/>
    <w:rsid w:val="0012499C"/>
    <w:rsid w:val="00124ACB"/>
    <w:rsid w:val="001253A5"/>
    <w:rsid w:val="00125883"/>
    <w:rsid w:val="00125AC4"/>
    <w:rsid w:val="00125B62"/>
    <w:rsid w:val="00125DA1"/>
    <w:rsid w:val="00126315"/>
    <w:rsid w:val="00126872"/>
    <w:rsid w:val="001268B0"/>
    <w:rsid w:val="00126AF6"/>
    <w:rsid w:val="00126DD8"/>
    <w:rsid w:val="00126DFA"/>
    <w:rsid w:val="00126E16"/>
    <w:rsid w:val="00126FFA"/>
    <w:rsid w:val="00127140"/>
    <w:rsid w:val="001272D2"/>
    <w:rsid w:val="0012740D"/>
    <w:rsid w:val="001279E9"/>
    <w:rsid w:val="00127AE9"/>
    <w:rsid w:val="00127F37"/>
    <w:rsid w:val="0013042C"/>
    <w:rsid w:val="00130761"/>
    <w:rsid w:val="00130F85"/>
    <w:rsid w:val="00130FC1"/>
    <w:rsid w:val="00131054"/>
    <w:rsid w:val="001312DC"/>
    <w:rsid w:val="00131645"/>
    <w:rsid w:val="00131701"/>
    <w:rsid w:val="00131710"/>
    <w:rsid w:val="00131BA1"/>
    <w:rsid w:val="00131FE1"/>
    <w:rsid w:val="0013244D"/>
    <w:rsid w:val="00132616"/>
    <w:rsid w:val="00132BFE"/>
    <w:rsid w:val="0013380C"/>
    <w:rsid w:val="00133893"/>
    <w:rsid w:val="00133C96"/>
    <w:rsid w:val="00133CDE"/>
    <w:rsid w:val="00133CFB"/>
    <w:rsid w:val="001342E4"/>
    <w:rsid w:val="0013452D"/>
    <w:rsid w:val="001349C9"/>
    <w:rsid w:val="00134C11"/>
    <w:rsid w:val="00134DDB"/>
    <w:rsid w:val="00135764"/>
    <w:rsid w:val="00135F9A"/>
    <w:rsid w:val="00136364"/>
    <w:rsid w:val="001369C2"/>
    <w:rsid w:val="00136AA5"/>
    <w:rsid w:val="00136C13"/>
    <w:rsid w:val="00136F2F"/>
    <w:rsid w:val="00137231"/>
    <w:rsid w:val="0013745A"/>
    <w:rsid w:val="001374A9"/>
    <w:rsid w:val="00137996"/>
    <w:rsid w:val="00137A97"/>
    <w:rsid w:val="00137B36"/>
    <w:rsid w:val="001404CA"/>
    <w:rsid w:val="001404F1"/>
    <w:rsid w:val="001408A1"/>
    <w:rsid w:val="00140A7E"/>
    <w:rsid w:val="001411E1"/>
    <w:rsid w:val="001412BE"/>
    <w:rsid w:val="001416B1"/>
    <w:rsid w:val="001417E8"/>
    <w:rsid w:val="00141B3C"/>
    <w:rsid w:val="00141D0E"/>
    <w:rsid w:val="00141FE6"/>
    <w:rsid w:val="001422D3"/>
    <w:rsid w:val="001422E0"/>
    <w:rsid w:val="0014237B"/>
    <w:rsid w:val="0014272A"/>
    <w:rsid w:val="00142977"/>
    <w:rsid w:val="00142A86"/>
    <w:rsid w:val="00142F4F"/>
    <w:rsid w:val="00143027"/>
    <w:rsid w:val="00143171"/>
    <w:rsid w:val="001433CA"/>
    <w:rsid w:val="00143434"/>
    <w:rsid w:val="00143545"/>
    <w:rsid w:val="00143E9D"/>
    <w:rsid w:val="00143F4F"/>
    <w:rsid w:val="0014405E"/>
    <w:rsid w:val="001444CF"/>
    <w:rsid w:val="00144525"/>
    <w:rsid w:val="001446CA"/>
    <w:rsid w:val="001449C3"/>
    <w:rsid w:val="00144CB1"/>
    <w:rsid w:val="00145012"/>
    <w:rsid w:val="00145178"/>
    <w:rsid w:val="0014536B"/>
    <w:rsid w:val="0014568A"/>
    <w:rsid w:val="001457AA"/>
    <w:rsid w:val="001459D5"/>
    <w:rsid w:val="00145A33"/>
    <w:rsid w:val="00145A54"/>
    <w:rsid w:val="00145B1B"/>
    <w:rsid w:val="00145B4D"/>
    <w:rsid w:val="00145C8A"/>
    <w:rsid w:val="00145D98"/>
    <w:rsid w:val="00145DEA"/>
    <w:rsid w:val="001463CB"/>
    <w:rsid w:val="00146C94"/>
    <w:rsid w:val="001470F9"/>
    <w:rsid w:val="001474CC"/>
    <w:rsid w:val="0014795F"/>
    <w:rsid w:val="00147C40"/>
    <w:rsid w:val="0015059C"/>
    <w:rsid w:val="0015065B"/>
    <w:rsid w:val="00150867"/>
    <w:rsid w:val="00150AB2"/>
    <w:rsid w:val="00150F71"/>
    <w:rsid w:val="0015164B"/>
    <w:rsid w:val="00151708"/>
    <w:rsid w:val="00151E72"/>
    <w:rsid w:val="00152262"/>
    <w:rsid w:val="0015226F"/>
    <w:rsid w:val="001526B3"/>
    <w:rsid w:val="00152F9F"/>
    <w:rsid w:val="00152FBA"/>
    <w:rsid w:val="00153146"/>
    <w:rsid w:val="0015338C"/>
    <w:rsid w:val="001537E1"/>
    <w:rsid w:val="00153907"/>
    <w:rsid w:val="00153C5F"/>
    <w:rsid w:val="00153D2B"/>
    <w:rsid w:val="00154067"/>
    <w:rsid w:val="0015411F"/>
    <w:rsid w:val="001543F5"/>
    <w:rsid w:val="00154586"/>
    <w:rsid w:val="00154803"/>
    <w:rsid w:val="00154DCC"/>
    <w:rsid w:val="00154E38"/>
    <w:rsid w:val="001552E9"/>
    <w:rsid w:val="0015553B"/>
    <w:rsid w:val="001558A5"/>
    <w:rsid w:val="001558D4"/>
    <w:rsid w:val="00155DEE"/>
    <w:rsid w:val="00156125"/>
    <w:rsid w:val="001563D1"/>
    <w:rsid w:val="0015640A"/>
    <w:rsid w:val="0015673F"/>
    <w:rsid w:val="0015696B"/>
    <w:rsid w:val="0015699D"/>
    <w:rsid w:val="00156A78"/>
    <w:rsid w:val="00156B92"/>
    <w:rsid w:val="00156C21"/>
    <w:rsid w:val="00156E29"/>
    <w:rsid w:val="00156F3E"/>
    <w:rsid w:val="0015722E"/>
    <w:rsid w:val="0015729C"/>
    <w:rsid w:val="001574B8"/>
    <w:rsid w:val="00157C43"/>
    <w:rsid w:val="00157C54"/>
    <w:rsid w:val="00157E2D"/>
    <w:rsid w:val="00160784"/>
    <w:rsid w:val="00160DBF"/>
    <w:rsid w:val="00161295"/>
    <w:rsid w:val="001612E6"/>
    <w:rsid w:val="00161413"/>
    <w:rsid w:val="00161546"/>
    <w:rsid w:val="00162862"/>
    <w:rsid w:val="001629B7"/>
    <w:rsid w:val="001629DC"/>
    <w:rsid w:val="00162A81"/>
    <w:rsid w:val="00162A93"/>
    <w:rsid w:val="00162FD0"/>
    <w:rsid w:val="001636AB"/>
    <w:rsid w:val="0016370B"/>
    <w:rsid w:val="00163F03"/>
    <w:rsid w:val="0016448E"/>
    <w:rsid w:val="00164510"/>
    <w:rsid w:val="00164703"/>
    <w:rsid w:val="00164A20"/>
    <w:rsid w:val="00164CE1"/>
    <w:rsid w:val="00164E4B"/>
    <w:rsid w:val="00164E50"/>
    <w:rsid w:val="001651E6"/>
    <w:rsid w:val="001652C6"/>
    <w:rsid w:val="0016598D"/>
    <w:rsid w:val="00165E65"/>
    <w:rsid w:val="00166126"/>
    <w:rsid w:val="001661C5"/>
    <w:rsid w:val="001664FF"/>
    <w:rsid w:val="001666FC"/>
    <w:rsid w:val="00166E77"/>
    <w:rsid w:val="001672E1"/>
    <w:rsid w:val="00167350"/>
    <w:rsid w:val="0016741B"/>
    <w:rsid w:val="00167588"/>
    <w:rsid w:val="001676F5"/>
    <w:rsid w:val="00167A7B"/>
    <w:rsid w:val="00167CD4"/>
    <w:rsid w:val="00167D8C"/>
    <w:rsid w:val="00167FF7"/>
    <w:rsid w:val="0017030C"/>
    <w:rsid w:val="0017039E"/>
    <w:rsid w:val="00170D05"/>
    <w:rsid w:val="00170DB9"/>
    <w:rsid w:val="00170E8A"/>
    <w:rsid w:val="00171012"/>
    <w:rsid w:val="0017119C"/>
    <w:rsid w:val="001713AD"/>
    <w:rsid w:val="001719EC"/>
    <w:rsid w:val="001725E6"/>
    <w:rsid w:val="00172958"/>
    <w:rsid w:val="00172CC9"/>
    <w:rsid w:val="00172FA4"/>
    <w:rsid w:val="00173355"/>
    <w:rsid w:val="001733F8"/>
    <w:rsid w:val="00173B76"/>
    <w:rsid w:val="00173CE2"/>
    <w:rsid w:val="00174114"/>
    <w:rsid w:val="00174177"/>
    <w:rsid w:val="001746CC"/>
    <w:rsid w:val="00174BA7"/>
    <w:rsid w:val="00174E1D"/>
    <w:rsid w:val="00174E6C"/>
    <w:rsid w:val="0017507C"/>
    <w:rsid w:val="00175726"/>
    <w:rsid w:val="00175C76"/>
    <w:rsid w:val="00175C92"/>
    <w:rsid w:val="00175E1C"/>
    <w:rsid w:val="001767D9"/>
    <w:rsid w:val="001769F6"/>
    <w:rsid w:val="00176B3A"/>
    <w:rsid w:val="001770C6"/>
    <w:rsid w:val="00177462"/>
    <w:rsid w:val="00177957"/>
    <w:rsid w:val="00177ABD"/>
    <w:rsid w:val="00177AC2"/>
    <w:rsid w:val="00177D39"/>
    <w:rsid w:val="00177E60"/>
    <w:rsid w:val="00177F6C"/>
    <w:rsid w:val="00180098"/>
    <w:rsid w:val="00180711"/>
    <w:rsid w:val="00180871"/>
    <w:rsid w:val="001808A6"/>
    <w:rsid w:val="00180AE6"/>
    <w:rsid w:val="00180E45"/>
    <w:rsid w:val="00181032"/>
    <w:rsid w:val="001811C1"/>
    <w:rsid w:val="001812A2"/>
    <w:rsid w:val="001813C7"/>
    <w:rsid w:val="001813E5"/>
    <w:rsid w:val="0018140B"/>
    <w:rsid w:val="0018155E"/>
    <w:rsid w:val="0018163F"/>
    <w:rsid w:val="00181771"/>
    <w:rsid w:val="00181A5F"/>
    <w:rsid w:val="00181DFF"/>
    <w:rsid w:val="00182291"/>
    <w:rsid w:val="001828DC"/>
    <w:rsid w:val="00182A69"/>
    <w:rsid w:val="00182B47"/>
    <w:rsid w:val="00182C8E"/>
    <w:rsid w:val="00182D13"/>
    <w:rsid w:val="00183600"/>
    <w:rsid w:val="00183704"/>
    <w:rsid w:val="00183728"/>
    <w:rsid w:val="001837F4"/>
    <w:rsid w:val="00183A02"/>
    <w:rsid w:val="00184470"/>
    <w:rsid w:val="00184867"/>
    <w:rsid w:val="001848FA"/>
    <w:rsid w:val="0018499E"/>
    <w:rsid w:val="00184ADF"/>
    <w:rsid w:val="00184C4F"/>
    <w:rsid w:val="00184F88"/>
    <w:rsid w:val="00184FAA"/>
    <w:rsid w:val="00185007"/>
    <w:rsid w:val="00185177"/>
    <w:rsid w:val="00185181"/>
    <w:rsid w:val="001852FF"/>
    <w:rsid w:val="00185634"/>
    <w:rsid w:val="0018593E"/>
    <w:rsid w:val="00185DED"/>
    <w:rsid w:val="0018609C"/>
    <w:rsid w:val="0018636B"/>
    <w:rsid w:val="00186E14"/>
    <w:rsid w:val="00186F5B"/>
    <w:rsid w:val="00187050"/>
    <w:rsid w:val="00187066"/>
    <w:rsid w:val="00187114"/>
    <w:rsid w:val="0018714A"/>
    <w:rsid w:val="00187317"/>
    <w:rsid w:val="001874A0"/>
    <w:rsid w:val="001878A0"/>
    <w:rsid w:val="001878FA"/>
    <w:rsid w:val="00187974"/>
    <w:rsid w:val="0019016B"/>
    <w:rsid w:val="001904D6"/>
    <w:rsid w:val="0019052D"/>
    <w:rsid w:val="001905E5"/>
    <w:rsid w:val="001906E0"/>
    <w:rsid w:val="00190BC9"/>
    <w:rsid w:val="00190F8B"/>
    <w:rsid w:val="001910CB"/>
    <w:rsid w:val="00191190"/>
    <w:rsid w:val="00191584"/>
    <w:rsid w:val="00191883"/>
    <w:rsid w:val="00191DF2"/>
    <w:rsid w:val="00192068"/>
    <w:rsid w:val="001922C2"/>
    <w:rsid w:val="00192B7D"/>
    <w:rsid w:val="00192CB0"/>
    <w:rsid w:val="00192E5A"/>
    <w:rsid w:val="001935F8"/>
    <w:rsid w:val="0019368D"/>
    <w:rsid w:val="00193776"/>
    <w:rsid w:val="0019378D"/>
    <w:rsid w:val="00193797"/>
    <w:rsid w:val="00193904"/>
    <w:rsid w:val="00193B57"/>
    <w:rsid w:val="00193BBE"/>
    <w:rsid w:val="00193C73"/>
    <w:rsid w:val="00194173"/>
    <w:rsid w:val="0019437A"/>
    <w:rsid w:val="00195146"/>
    <w:rsid w:val="00195553"/>
    <w:rsid w:val="00195568"/>
    <w:rsid w:val="001957B9"/>
    <w:rsid w:val="0019598E"/>
    <w:rsid w:val="00195B53"/>
    <w:rsid w:val="00195C96"/>
    <w:rsid w:val="00196096"/>
    <w:rsid w:val="001962D9"/>
    <w:rsid w:val="0019635D"/>
    <w:rsid w:val="001969DE"/>
    <w:rsid w:val="00196B06"/>
    <w:rsid w:val="00196CE6"/>
    <w:rsid w:val="00196D1B"/>
    <w:rsid w:val="0019716B"/>
    <w:rsid w:val="0019746A"/>
    <w:rsid w:val="001974BF"/>
    <w:rsid w:val="00197530"/>
    <w:rsid w:val="00197AE5"/>
    <w:rsid w:val="00197B47"/>
    <w:rsid w:val="00197DB3"/>
    <w:rsid w:val="00197FDF"/>
    <w:rsid w:val="001A0134"/>
    <w:rsid w:val="001A0380"/>
    <w:rsid w:val="001A0457"/>
    <w:rsid w:val="001A05A6"/>
    <w:rsid w:val="001A07F4"/>
    <w:rsid w:val="001A0B3F"/>
    <w:rsid w:val="001A0C31"/>
    <w:rsid w:val="001A1012"/>
    <w:rsid w:val="001A1304"/>
    <w:rsid w:val="001A13A8"/>
    <w:rsid w:val="001A1487"/>
    <w:rsid w:val="001A151B"/>
    <w:rsid w:val="001A168E"/>
    <w:rsid w:val="001A1795"/>
    <w:rsid w:val="001A1CC9"/>
    <w:rsid w:val="001A1E61"/>
    <w:rsid w:val="001A1F0C"/>
    <w:rsid w:val="001A205D"/>
    <w:rsid w:val="001A21D8"/>
    <w:rsid w:val="001A257F"/>
    <w:rsid w:val="001A2CD8"/>
    <w:rsid w:val="001A324B"/>
    <w:rsid w:val="001A3566"/>
    <w:rsid w:val="001A356F"/>
    <w:rsid w:val="001A3D12"/>
    <w:rsid w:val="001A3FEE"/>
    <w:rsid w:val="001A405E"/>
    <w:rsid w:val="001A40A3"/>
    <w:rsid w:val="001A4350"/>
    <w:rsid w:val="001A4832"/>
    <w:rsid w:val="001A4A7A"/>
    <w:rsid w:val="001A4C82"/>
    <w:rsid w:val="001A529D"/>
    <w:rsid w:val="001A5EF6"/>
    <w:rsid w:val="001A5F2E"/>
    <w:rsid w:val="001A6014"/>
    <w:rsid w:val="001A6135"/>
    <w:rsid w:val="001A6152"/>
    <w:rsid w:val="001A61E9"/>
    <w:rsid w:val="001A62F1"/>
    <w:rsid w:val="001A6316"/>
    <w:rsid w:val="001A65E9"/>
    <w:rsid w:val="001A6890"/>
    <w:rsid w:val="001A6D72"/>
    <w:rsid w:val="001A6F2A"/>
    <w:rsid w:val="001A72BB"/>
    <w:rsid w:val="001A743C"/>
    <w:rsid w:val="001A7685"/>
    <w:rsid w:val="001A796C"/>
    <w:rsid w:val="001A7AED"/>
    <w:rsid w:val="001A7D3E"/>
    <w:rsid w:val="001A7FB1"/>
    <w:rsid w:val="001B0161"/>
    <w:rsid w:val="001B01BF"/>
    <w:rsid w:val="001B0E72"/>
    <w:rsid w:val="001B130E"/>
    <w:rsid w:val="001B14A8"/>
    <w:rsid w:val="001B163A"/>
    <w:rsid w:val="001B18B9"/>
    <w:rsid w:val="001B1943"/>
    <w:rsid w:val="001B1C08"/>
    <w:rsid w:val="001B224E"/>
    <w:rsid w:val="001B27AA"/>
    <w:rsid w:val="001B2828"/>
    <w:rsid w:val="001B2972"/>
    <w:rsid w:val="001B2C43"/>
    <w:rsid w:val="001B2F77"/>
    <w:rsid w:val="001B313C"/>
    <w:rsid w:val="001B315C"/>
    <w:rsid w:val="001B315D"/>
    <w:rsid w:val="001B34D8"/>
    <w:rsid w:val="001B3928"/>
    <w:rsid w:val="001B3A9F"/>
    <w:rsid w:val="001B41D2"/>
    <w:rsid w:val="001B4345"/>
    <w:rsid w:val="001B43F1"/>
    <w:rsid w:val="001B44EC"/>
    <w:rsid w:val="001B4794"/>
    <w:rsid w:val="001B4A94"/>
    <w:rsid w:val="001B4E5B"/>
    <w:rsid w:val="001B54CA"/>
    <w:rsid w:val="001B57EC"/>
    <w:rsid w:val="001B5894"/>
    <w:rsid w:val="001B58AF"/>
    <w:rsid w:val="001B5E7C"/>
    <w:rsid w:val="001B616A"/>
    <w:rsid w:val="001B7227"/>
    <w:rsid w:val="001B72ED"/>
    <w:rsid w:val="001B7CB6"/>
    <w:rsid w:val="001B7FBC"/>
    <w:rsid w:val="001C0113"/>
    <w:rsid w:val="001C011E"/>
    <w:rsid w:val="001C01E9"/>
    <w:rsid w:val="001C0381"/>
    <w:rsid w:val="001C05E9"/>
    <w:rsid w:val="001C069E"/>
    <w:rsid w:val="001C0892"/>
    <w:rsid w:val="001C0B24"/>
    <w:rsid w:val="001C0BE6"/>
    <w:rsid w:val="001C0CE1"/>
    <w:rsid w:val="001C0E6C"/>
    <w:rsid w:val="001C10EB"/>
    <w:rsid w:val="001C1511"/>
    <w:rsid w:val="001C1605"/>
    <w:rsid w:val="001C181E"/>
    <w:rsid w:val="001C19D8"/>
    <w:rsid w:val="001C1A28"/>
    <w:rsid w:val="001C1CD1"/>
    <w:rsid w:val="001C1DFF"/>
    <w:rsid w:val="001C1FD1"/>
    <w:rsid w:val="001C20B4"/>
    <w:rsid w:val="001C2250"/>
    <w:rsid w:val="001C2DF3"/>
    <w:rsid w:val="001C2EDC"/>
    <w:rsid w:val="001C3480"/>
    <w:rsid w:val="001C3844"/>
    <w:rsid w:val="001C39A7"/>
    <w:rsid w:val="001C3B3B"/>
    <w:rsid w:val="001C40A5"/>
    <w:rsid w:val="001C49A3"/>
    <w:rsid w:val="001C4CE7"/>
    <w:rsid w:val="001C4E90"/>
    <w:rsid w:val="001C50A3"/>
    <w:rsid w:val="001C5297"/>
    <w:rsid w:val="001C59C6"/>
    <w:rsid w:val="001C5AE9"/>
    <w:rsid w:val="001C6344"/>
    <w:rsid w:val="001C63D4"/>
    <w:rsid w:val="001C6506"/>
    <w:rsid w:val="001C6606"/>
    <w:rsid w:val="001C69F1"/>
    <w:rsid w:val="001C6AB1"/>
    <w:rsid w:val="001C6D0F"/>
    <w:rsid w:val="001C71CC"/>
    <w:rsid w:val="001C799A"/>
    <w:rsid w:val="001C7AB3"/>
    <w:rsid w:val="001C7B51"/>
    <w:rsid w:val="001C7D3C"/>
    <w:rsid w:val="001C7F6F"/>
    <w:rsid w:val="001D00FB"/>
    <w:rsid w:val="001D023E"/>
    <w:rsid w:val="001D0357"/>
    <w:rsid w:val="001D068D"/>
    <w:rsid w:val="001D0B11"/>
    <w:rsid w:val="001D0BBF"/>
    <w:rsid w:val="001D0C02"/>
    <w:rsid w:val="001D108A"/>
    <w:rsid w:val="001D123C"/>
    <w:rsid w:val="001D16C5"/>
    <w:rsid w:val="001D1CC8"/>
    <w:rsid w:val="001D1D8D"/>
    <w:rsid w:val="001D1D93"/>
    <w:rsid w:val="001D1FDC"/>
    <w:rsid w:val="001D2323"/>
    <w:rsid w:val="001D24C5"/>
    <w:rsid w:val="001D24EA"/>
    <w:rsid w:val="001D27A5"/>
    <w:rsid w:val="001D351B"/>
    <w:rsid w:val="001D3530"/>
    <w:rsid w:val="001D3ABD"/>
    <w:rsid w:val="001D3E1F"/>
    <w:rsid w:val="001D3EFF"/>
    <w:rsid w:val="001D4079"/>
    <w:rsid w:val="001D4400"/>
    <w:rsid w:val="001D469E"/>
    <w:rsid w:val="001D4C29"/>
    <w:rsid w:val="001D4DD0"/>
    <w:rsid w:val="001D5036"/>
    <w:rsid w:val="001D540C"/>
    <w:rsid w:val="001D55DD"/>
    <w:rsid w:val="001D60DC"/>
    <w:rsid w:val="001D62C9"/>
    <w:rsid w:val="001D642B"/>
    <w:rsid w:val="001D6490"/>
    <w:rsid w:val="001D677A"/>
    <w:rsid w:val="001D682B"/>
    <w:rsid w:val="001D6AE1"/>
    <w:rsid w:val="001D6DC9"/>
    <w:rsid w:val="001D7603"/>
    <w:rsid w:val="001E066D"/>
    <w:rsid w:val="001E0694"/>
    <w:rsid w:val="001E0AE5"/>
    <w:rsid w:val="001E0B64"/>
    <w:rsid w:val="001E0F09"/>
    <w:rsid w:val="001E100A"/>
    <w:rsid w:val="001E101A"/>
    <w:rsid w:val="001E10A2"/>
    <w:rsid w:val="001E11E7"/>
    <w:rsid w:val="001E163B"/>
    <w:rsid w:val="001E1940"/>
    <w:rsid w:val="001E2196"/>
    <w:rsid w:val="001E22D3"/>
    <w:rsid w:val="001E256E"/>
    <w:rsid w:val="001E286D"/>
    <w:rsid w:val="001E2A7E"/>
    <w:rsid w:val="001E2A8A"/>
    <w:rsid w:val="001E2B98"/>
    <w:rsid w:val="001E2BDA"/>
    <w:rsid w:val="001E2ED4"/>
    <w:rsid w:val="001E2F6C"/>
    <w:rsid w:val="001E39C3"/>
    <w:rsid w:val="001E3B29"/>
    <w:rsid w:val="001E3EF1"/>
    <w:rsid w:val="001E3F9A"/>
    <w:rsid w:val="001E4010"/>
    <w:rsid w:val="001E4671"/>
    <w:rsid w:val="001E49A5"/>
    <w:rsid w:val="001E4B9E"/>
    <w:rsid w:val="001E4F75"/>
    <w:rsid w:val="001E4F92"/>
    <w:rsid w:val="001E51EB"/>
    <w:rsid w:val="001E565E"/>
    <w:rsid w:val="001E594D"/>
    <w:rsid w:val="001E5A1F"/>
    <w:rsid w:val="001E5AA7"/>
    <w:rsid w:val="001E5E17"/>
    <w:rsid w:val="001E5E1E"/>
    <w:rsid w:val="001E5F72"/>
    <w:rsid w:val="001E5FAB"/>
    <w:rsid w:val="001E6154"/>
    <w:rsid w:val="001E6474"/>
    <w:rsid w:val="001E667C"/>
    <w:rsid w:val="001E6B32"/>
    <w:rsid w:val="001E6B75"/>
    <w:rsid w:val="001E6B79"/>
    <w:rsid w:val="001E6C78"/>
    <w:rsid w:val="001E6E4A"/>
    <w:rsid w:val="001E70C3"/>
    <w:rsid w:val="001E72FF"/>
    <w:rsid w:val="001E7723"/>
    <w:rsid w:val="001E7A10"/>
    <w:rsid w:val="001F027E"/>
    <w:rsid w:val="001F03A2"/>
    <w:rsid w:val="001F06F3"/>
    <w:rsid w:val="001F075B"/>
    <w:rsid w:val="001F08A7"/>
    <w:rsid w:val="001F0BB8"/>
    <w:rsid w:val="001F0D3B"/>
    <w:rsid w:val="001F10DD"/>
    <w:rsid w:val="001F137F"/>
    <w:rsid w:val="001F14E8"/>
    <w:rsid w:val="001F176F"/>
    <w:rsid w:val="001F1BC0"/>
    <w:rsid w:val="001F207C"/>
    <w:rsid w:val="001F2138"/>
    <w:rsid w:val="001F2660"/>
    <w:rsid w:val="001F289A"/>
    <w:rsid w:val="001F28CF"/>
    <w:rsid w:val="001F291D"/>
    <w:rsid w:val="001F29B9"/>
    <w:rsid w:val="001F2D52"/>
    <w:rsid w:val="001F2D6C"/>
    <w:rsid w:val="001F302F"/>
    <w:rsid w:val="001F3283"/>
    <w:rsid w:val="001F32B9"/>
    <w:rsid w:val="001F3491"/>
    <w:rsid w:val="001F352A"/>
    <w:rsid w:val="001F368B"/>
    <w:rsid w:val="001F374E"/>
    <w:rsid w:val="001F3961"/>
    <w:rsid w:val="001F3986"/>
    <w:rsid w:val="001F3D6C"/>
    <w:rsid w:val="001F3E9F"/>
    <w:rsid w:val="001F4089"/>
    <w:rsid w:val="001F423E"/>
    <w:rsid w:val="001F442E"/>
    <w:rsid w:val="001F4585"/>
    <w:rsid w:val="001F4A31"/>
    <w:rsid w:val="001F4A55"/>
    <w:rsid w:val="001F4AB8"/>
    <w:rsid w:val="001F4B9C"/>
    <w:rsid w:val="001F4C3E"/>
    <w:rsid w:val="001F4D15"/>
    <w:rsid w:val="001F4E61"/>
    <w:rsid w:val="001F4FE8"/>
    <w:rsid w:val="001F51FE"/>
    <w:rsid w:val="001F55FA"/>
    <w:rsid w:val="001F5994"/>
    <w:rsid w:val="001F5EF9"/>
    <w:rsid w:val="001F6410"/>
    <w:rsid w:val="001F653D"/>
    <w:rsid w:val="001F6D83"/>
    <w:rsid w:val="001F6F1A"/>
    <w:rsid w:val="001F7363"/>
    <w:rsid w:val="001F73BD"/>
    <w:rsid w:val="001F756C"/>
    <w:rsid w:val="001F78EA"/>
    <w:rsid w:val="001F7A08"/>
    <w:rsid w:val="001F7D4A"/>
    <w:rsid w:val="001F7DBC"/>
    <w:rsid w:val="001F7F59"/>
    <w:rsid w:val="002000EF"/>
    <w:rsid w:val="002003DF"/>
    <w:rsid w:val="00200414"/>
    <w:rsid w:val="00200A7C"/>
    <w:rsid w:val="00200AD4"/>
    <w:rsid w:val="00200F0F"/>
    <w:rsid w:val="00200FAC"/>
    <w:rsid w:val="002010D7"/>
    <w:rsid w:val="002012AB"/>
    <w:rsid w:val="00201356"/>
    <w:rsid w:val="00201941"/>
    <w:rsid w:val="00201C53"/>
    <w:rsid w:val="00201C74"/>
    <w:rsid w:val="00201DD4"/>
    <w:rsid w:val="00202086"/>
    <w:rsid w:val="002021BE"/>
    <w:rsid w:val="002026E1"/>
    <w:rsid w:val="00202784"/>
    <w:rsid w:val="00202B0C"/>
    <w:rsid w:val="00202F44"/>
    <w:rsid w:val="002031B1"/>
    <w:rsid w:val="0020344A"/>
    <w:rsid w:val="0020344D"/>
    <w:rsid w:val="0020381E"/>
    <w:rsid w:val="002038A2"/>
    <w:rsid w:val="002039F9"/>
    <w:rsid w:val="00204513"/>
    <w:rsid w:val="0020526B"/>
    <w:rsid w:val="002054B8"/>
    <w:rsid w:val="00205527"/>
    <w:rsid w:val="00205802"/>
    <w:rsid w:val="00205B90"/>
    <w:rsid w:val="00205E1B"/>
    <w:rsid w:val="00206053"/>
    <w:rsid w:val="0020673B"/>
    <w:rsid w:val="00206DD7"/>
    <w:rsid w:val="002071E0"/>
    <w:rsid w:val="002072DA"/>
    <w:rsid w:val="002077E9"/>
    <w:rsid w:val="0020787E"/>
    <w:rsid w:val="00207885"/>
    <w:rsid w:val="00207BE4"/>
    <w:rsid w:val="0021083D"/>
    <w:rsid w:val="002108CB"/>
    <w:rsid w:val="0021092A"/>
    <w:rsid w:val="00210C53"/>
    <w:rsid w:val="00210C5B"/>
    <w:rsid w:val="00210F02"/>
    <w:rsid w:val="0021175B"/>
    <w:rsid w:val="00211776"/>
    <w:rsid w:val="00211D76"/>
    <w:rsid w:val="00211D9B"/>
    <w:rsid w:val="00212797"/>
    <w:rsid w:val="00212821"/>
    <w:rsid w:val="002128DA"/>
    <w:rsid w:val="0021353C"/>
    <w:rsid w:val="002135FB"/>
    <w:rsid w:val="0021371B"/>
    <w:rsid w:val="00213949"/>
    <w:rsid w:val="00213F8D"/>
    <w:rsid w:val="00213FAF"/>
    <w:rsid w:val="00214547"/>
    <w:rsid w:val="00214866"/>
    <w:rsid w:val="00214FDB"/>
    <w:rsid w:val="0021514C"/>
    <w:rsid w:val="00215618"/>
    <w:rsid w:val="00215B81"/>
    <w:rsid w:val="00215BEB"/>
    <w:rsid w:val="00215CEA"/>
    <w:rsid w:val="00215EE1"/>
    <w:rsid w:val="00216114"/>
    <w:rsid w:val="00216235"/>
    <w:rsid w:val="00216472"/>
    <w:rsid w:val="00216658"/>
    <w:rsid w:val="002167F3"/>
    <w:rsid w:val="00216A1D"/>
    <w:rsid w:val="0021711C"/>
    <w:rsid w:val="002171CE"/>
    <w:rsid w:val="00217230"/>
    <w:rsid w:val="00217387"/>
    <w:rsid w:val="00217676"/>
    <w:rsid w:val="00217736"/>
    <w:rsid w:val="002177C2"/>
    <w:rsid w:val="00217843"/>
    <w:rsid w:val="002179CC"/>
    <w:rsid w:val="00217D32"/>
    <w:rsid w:val="00217D88"/>
    <w:rsid w:val="00220244"/>
    <w:rsid w:val="00220362"/>
    <w:rsid w:val="002203DF"/>
    <w:rsid w:val="002208AF"/>
    <w:rsid w:val="002210FA"/>
    <w:rsid w:val="0022110C"/>
    <w:rsid w:val="00221509"/>
    <w:rsid w:val="0022162F"/>
    <w:rsid w:val="00221842"/>
    <w:rsid w:val="00221A56"/>
    <w:rsid w:val="00221A66"/>
    <w:rsid w:val="00221A98"/>
    <w:rsid w:val="00221C6A"/>
    <w:rsid w:val="00221C90"/>
    <w:rsid w:val="0022200B"/>
    <w:rsid w:val="00222955"/>
    <w:rsid w:val="002229CD"/>
    <w:rsid w:val="00222C43"/>
    <w:rsid w:val="00222F2F"/>
    <w:rsid w:val="00223079"/>
    <w:rsid w:val="002230E6"/>
    <w:rsid w:val="0022313E"/>
    <w:rsid w:val="0022324E"/>
    <w:rsid w:val="00223621"/>
    <w:rsid w:val="0022387F"/>
    <w:rsid w:val="00223A59"/>
    <w:rsid w:val="00223B6E"/>
    <w:rsid w:val="00223CF2"/>
    <w:rsid w:val="00224048"/>
    <w:rsid w:val="0022428B"/>
    <w:rsid w:val="00224546"/>
    <w:rsid w:val="002247E0"/>
    <w:rsid w:val="002248D5"/>
    <w:rsid w:val="00224C2D"/>
    <w:rsid w:val="00224C57"/>
    <w:rsid w:val="00224D9A"/>
    <w:rsid w:val="00224E0D"/>
    <w:rsid w:val="0022526E"/>
    <w:rsid w:val="002252C1"/>
    <w:rsid w:val="002252CF"/>
    <w:rsid w:val="00225302"/>
    <w:rsid w:val="0022581F"/>
    <w:rsid w:val="00225C92"/>
    <w:rsid w:val="00226050"/>
    <w:rsid w:val="00226275"/>
    <w:rsid w:val="00226329"/>
    <w:rsid w:val="00226B62"/>
    <w:rsid w:val="00226E1A"/>
    <w:rsid w:val="00226E26"/>
    <w:rsid w:val="00226EFA"/>
    <w:rsid w:val="002270C3"/>
    <w:rsid w:val="00230EBE"/>
    <w:rsid w:val="002312C7"/>
    <w:rsid w:val="00231BD1"/>
    <w:rsid w:val="00232662"/>
    <w:rsid w:val="002328B4"/>
    <w:rsid w:val="00232C85"/>
    <w:rsid w:val="0023305E"/>
    <w:rsid w:val="002333AF"/>
    <w:rsid w:val="002335DD"/>
    <w:rsid w:val="0023378A"/>
    <w:rsid w:val="00233AE7"/>
    <w:rsid w:val="00233AF0"/>
    <w:rsid w:val="0023408B"/>
    <w:rsid w:val="002345AD"/>
    <w:rsid w:val="002345B1"/>
    <w:rsid w:val="002348B1"/>
    <w:rsid w:val="00234940"/>
    <w:rsid w:val="00234D0F"/>
    <w:rsid w:val="00234D45"/>
    <w:rsid w:val="00235175"/>
    <w:rsid w:val="0023518D"/>
    <w:rsid w:val="00235229"/>
    <w:rsid w:val="0023540C"/>
    <w:rsid w:val="002358D0"/>
    <w:rsid w:val="002359B0"/>
    <w:rsid w:val="00235BD6"/>
    <w:rsid w:val="0023602E"/>
    <w:rsid w:val="00236153"/>
    <w:rsid w:val="00236183"/>
    <w:rsid w:val="002361E4"/>
    <w:rsid w:val="002367D6"/>
    <w:rsid w:val="002368A1"/>
    <w:rsid w:val="002368D6"/>
    <w:rsid w:val="00236B2A"/>
    <w:rsid w:val="0023769E"/>
    <w:rsid w:val="00237724"/>
    <w:rsid w:val="00237773"/>
    <w:rsid w:val="00240542"/>
    <w:rsid w:val="002405F5"/>
    <w:rsid w:val="00240AD1"/>
    <w:rsid w:val="00240FDE"/>
    <w:rsid w:val="0024115A"/>
    <w:rsid w:val="0024141D"/>
    <w:rsid w:val="0024177E"/>
    <w:rsid w:val="00241E4E"/>
    <w:rsid w:val="00241F06"/>
    <w:rsid w:val="00241F25"/>
    <w:rsid w:val="00242660"/>
    <w:rsid w:val="002427B6"/>
    <w:rsid w:val="002429A3"/>
    <w:rsid w:val="00242A32"/>
    <w:rsid w:val="00242B08"/>
    <w:rsid w:val="00242CEE"/>
    <w:rsid w:val="00242D58"/>
    <w:rsid w:val="00243014"/>
    <w:rsid w:val="002432C9"/>
    <w:rsid w:val="00243720"/>
    <w:rsid w:val="00243810"/>
    <w:rsid w:val="0024384B"/>
    <w:rsid w:val="002439B9"/>
    <w:rsid w:val="00243F40"/>
    <w:rsid w:val="0024410B"/>
    <w:rsid w:val="0024417E"/>
    <w:rsid w:val="002445A0"/>
    <w:rsid w:val="0024489C"/>
    <w:rsid w:val="00244B32"/>
    <w:rsid w:val="00244D33"/>
    <w:rsid w:val="00244DE1"/>
    <w:rsid w:val="00244E06"/>
    <w:rsid w:val="00244F36"/>
    <w:rsid w:val="00245637"/>
    <w:rsid w:val="00245696"/>
    <w:rsid w:val="00246879"/>
    <w:rsid w:val="00246AA9"/>
    <w:rsid w:val="00246AC5"/>
    <w:rsid w:val="002471D4"/>
    <w:rsid w:val="00247675"/>
    <w:rsid w:val="0024769A"/>
    <w:rsid w:val="00247828"/>
    <w:rsid w:val="00247CFE"/>
    <w:rsid w:val="00247DD3"/>
    <w:rsid w:val="00247E14"/>
    <w:rsid w:val="00250335"/>
    <w:rsid w:val="002503CF"/>
    <w:rsid w:val="00250656"/>
    <w:rsid w:val="002508D6"/>
    <w:rsid w:val="00250F99"/>
    <w:rsid w:val="002516C0"/>
    <w:rsid w:val="002516D4"/>
    <w:rsid w:val="002517C5"/>
    <w:rsid w:val="00251D79"/>
    <w:rsid w:val="00251DAB"/>
    <w:rsid w:val="00251E78"/>
    <w:rsid w:val="002521F4"/>
    <w:rsid w:val="002528CA"/>
    <w:rsid w:val="00252932"/>
    <w:rsid w:val="002529A3"/>
    <w:rsid w:val="00252A74"/>
    <w:rsid w:val="00252B62"/>
    <w:rsid w:val="00252B73"/>
    <w:rsid w:val="00252BC7"/>
    <w:rsid w:val="00252D7F"/>
    <w:rsid w:val="00252ED4"/>
    <w:rsid w:val="00253385"/>
    <w:rsid w:val="0025343D"/>
    <w:rsid w:val="002536BF"/>
    <w:rsid w:val="0025393C"/>
    <w:rsid w:val="00253B89"/>
    <w:rsid w:val="00253C62"/>
    <w:rsid w:val="00253E80"/>
    <w:rsid w:val="002542F9"/>
    <w:rsid w:val="002543A6"/>
    <w:rsid w:val="002543F7"/>
    <w:rsid w:val="00254598"/>
    <w:rsid w:val="00254992"/>
    <w:rsid w:val="002550D3"/>
    <w:rsid w:val="00255353"/>
    <w:rsid w:val="002557A2"/>
    <w:rsid w:val="002557E1"/>
    <w:rsid w:val="00255A39"/>
    <w:rsid w:val="00255C1B"/>
    <w:rsid w:val="00255F0E"/>
    <w:rsid w:val="00256145"/>
    <w:rsid w:val="00256232"/>
    <w:rsid w:val="00256391"/>
    <w:rsid w:val="002563E5"/>
    <w:rsid w:val="00256490"/>
    <w:rsid w:val="002564DE"/>
    <w:rsid w:val="002567DC"/>
    <w:rsid w:val="00256B32"/>
    <w:rsid w:val="00256E26"/>
    <w:rsid w:val="00256FCF"/>
    <w:rsid w:val="00257251"/>
    <w:rsid w:val="002572CB"/>
    <w:rsid w:val="002578ED"/>
    <w:rsid w:val="00257CF8"/>
    <w:rsid w:val="002601ED"/>
    <w:rsid w:val="0026023F"/>
    <w:rsid w:val="002602B6"/>
    <w:rsid w:val="0026035C"/>
    <w:rsid w:val="002603E7"/>
    <w:rsid w:val="00260416"/>
    <w:rsid w:val="0026066E"/>
    <w:rsid w:val="0026072F"/>
    <w:rsid w:val="00260A26"/>
    <w:rsid w:val="00260D58"/>
    <w:rsid w:val="00261197"/>
    <w:rsid w:val="00261222"/>
    <w:rsid w:val="00261439"/>
    <w:rsid w:val="002614F2"/>
    <w:rsid w:val="00261608"/>
    <w:rsid w:val="00261F5A"/>
    <w:rsid w:val="00261FAE"/>
    <w:rsid w:val="002624E6"/>
    <w:rsid w:val="00262551"/>
    <w:rsid w:val="0026283F"/>
    <w:rsid w:val="00262980"/>
    <w:rsid w:val="00262C70"/>
    <w:rsid w:val="00262D36"/>
    <w:rsid w:val="0026302D"/>
    <w:rsid w:val="002632F1"/>
    <w:rsid w:val="00263805"/>
    <w:rsid w:val="00263CF3"/>
    <w:rsid w:val="00263F60"/>
    <w:rsid w:val="0026433D"/>
    <w:rsid w:val="0026440F"/>
    <w:rsid w:val="002645AB"/>
    <w:rsid w:val="002647DB"/>
    <w:rsid w:val="0026490B"/>
    <w:rsid w:val="0026494A"/>
    <w:rsid w:val="00264B95"/>
    <w:rsid w:val="00264BEA"/>
    <w:rsid w:val="0026527E"/>
    <w:rsid w:val="00265632"/>
    <w:rsid w:val="002657D0"/>
    <w:rsid w:val="00265949"/>
    <w:rsid w:val="00265A60"/>
    <w:rsid w:val="00265D30"/>
    <w:rsid w:val="00265F5B"/>
    <w:rsid w:val="0026655B"/>
    <w:rsid w:val="002669F2"/>
    <w:rsid w:val="00266A65"/>
    <w:rsid w:val="00266C06"/>
    <w:rsid w:val="00266E8D"/>
    <w:rsid w:val="00266EEF"/>
    <w:rsid w:val="00266F35"/>
    <w:rsid w:val="002670A7"/>
    <w:rsid w:val="002673B1"/>
    <w:rsid w:val="002673CF"/>
    <w:rsid w:val="00267445"/>
    <w:rsid w:val="00267565"/>
    <w:rsid w:val="0026779C"/>
    <w:rsid w:val="00267806"/>
    <w:rsid w:val="002678E1"/>
    <w:rsid w:val="00267A5E"/>
    <w:rsid w:val="00267CC2"/>
    <w:rsid w:val="002705B3"/>
    <w:rsid w:val="00270C6B"/>
    <w:rsid w:val="00270F18"/>
    <w:rsid w:val="002717C5"/>
    <w:rsid w:val="002717E4"/>
    <w:rsid w:val="00271A9B"/>
    <w:rsid w:val="00271E44"/>
    <w:rsid w:val="00272078"/>
    <w:rsid w:val="002722BE"/>
    <w:rsid w:val="002725B4"/>
    <w:rsid w:val="002727A2"/>
    <w:rsid w:val="00272868"/>
    <w:rsid w:val="002732A5"/>
    <w:rsid w:val="0027345C"/>
    <w:rsid w:val="0027358E"/>
    <w:rsid w:val="0027369E"/>
    <w:rsid w:val="0027395E"/>
    <w:rsid w:val="00273AD4"/>
    <w:rsid w:val="00273DE3"/>
    <w:rsid w:val="00273E18"/>
    <w:rsid w:val="0027403E"/>
    <w:rsid w:val="002741D1"/>
    <w:rsid w:val="0027438A"/>
    <w:rsid w:val="002744B5"/>
    <w:rsid w:val="002746B7"/>
    <w:rsid w:val="00274730"/>
    <w:rsid w:val="0027479D"/>
    <w:rsid w:val="00274CCC"/>
    <w:rsid w:val="00274F68"/>
    <w:rsid w:val="00274FFD"/>
    <w:rsid w:val="00275589"/>
    <w:rsid w:val="002757BB"/>
    <w:rsid w:val="00275FF5"/>
    <w:rsid w:val="00276925"/>
    <w:rsid w:val="00276960"/>
    <w:rsid w:val="002769A2"/>
    <w:rsid w:val="00277120"/>
    <w:rsid w:val="002776EB"/>
    <w:rsid w:val="00277D0B"/>
    <w:rsid w:val="00277EBF"/>
    <w:rsid w:val="00280566"/>
    <w:rsid w:val="00280A6A"/>
    <w:rsid w:val="0028117A"/>
    <w:rsid w:val="00281257"/>
    <w:rsid w:val="002812C9"/>
    <w:rsid w:val="00281543"/>
    <w:rsid w:val="00281573"/>
    <w:rsid w:val="002817C3"/>
    <w:rsid w:val="002819B2"/>
    <w:rsid w:val="00281B2B"/>
    <w:rsid w:val="00281B62"/>
    <w:rsid w:val="00281B8F"/>
    <w:rsid w:val="002821F7"/>
    <w:rsid w:val="00282692"/>
    <w:rsid w:val="00282942"/>
    <w:rsid w:val="002829FF"/>
    <w:rsid w:val="00282A2D"/>
    <w:rsid w:val="00282B87"/>
    <w:rsid w:val="00282D39"/>
    <w:rsid w:val="00282F7D"/>
    <w:rsid w:val="00283455"/>
    <w:rsid w:val="00283741"/>
    <w:rsid w:val="002839DD"/>
    <w:rsid w:val="00283F5B"/>
    <w:rsid w:val="00284222"/>
    <w:rsid w:val="0028440E"/>
    <w:rsid w:val="00284526"/>
    <w:rsid w:val="0028455B"/>
    <w:rsid w:val="002845D1"/>
    <w:rsid w:val="00284852"/>
    <w:rsid w:val="002848A1"/>
    <w:rsid w:val="00284A4D"/>
    <w:rsid w:val="002853C6"/>
    <w:rsid w:val="00285411"/>
    <w:rsid w:val="0028552B"/>
    <w:rsid w:val="002859FF"/>
    <w:rsid w:val="00285B41"/>
    <w:rsid w:val="00285D15"/>
    <w:rsid w:val="00285D90"/>
    <w:rsid w:val="002864E0"/>
    <w:rsid w:val="0028692B"/>
    <w:rsid w:val="00286CDA"/>
    <w:rsid w:val="00286E87"/>
    <w:rsid w:val="00287488"/>
    <w:rsid w:val="00287957"/>
    <w:rsid w:val="00287A40"/>
    <w:rsid w:val="00287FD4"/>
    <w:rsid w:val="002902BB"/>
    <w:rsid w:val="00290375"/>
    <w:rsid w:val="002905B8"/>
    <w:rsid w:val="00291195"/>
    <w:rsid w:val="002914A8"/>
    <w:rsid w:val="002914EF"/>
    <w:rsid w:val="002919F9"/>
    <w:rsid w:val="00292C31"/>
    <w:rsid w:val="00292D5D"/>
    <w:rsid w:val="00292DD1"/>
    <w:rsid w:val="002934A0"/>
    <w:rsid w:val="00293566"/>
    <w:rsid w:val="0029359D"/>
    <w:rsid w:val="0029370F"/>
    <w:rsid w:val="00293986"/>
    <w:rsid w:val="00293D84"/>
    <w:rsid w:val="0029412C"/>
    <w:rsid w:val="00294240"/>
    <w:rsid w:val="00294328"/>
    <w:rsid w:val="00294516"/>
    <w:rsid w:val="00294821"/>
    <w:rsid w:val="0029482F"/>
    <w:rsid w:val="00294947"/>
    <w:rsid w:val="00294A53"/>
    <w:rsid w:val="00294B44"/>
    <w:rsid w:val="00294D13"/>
    <w:rsid w:val="00294F4E"/>
    <w:rsid w:val="0029507F"/>
    <w:rsid w:val="00295504"/>
    <w:rsid w:val="0029561B"/>
    <w:rsid w:val="002958B4"/>
    <w:rsid w:val="00295BA3"/>
    <w:rsid w:val="00296069"/>
    <w:rsid w:val="0029624E"/>
    <w:rsid w:val="00296377"/>
    <w:rsid w:val="00296555"/>
    <w:rsid w:val="002969D0"/>
    <w:rsid w:val="00296B38"/>
    <w:rsid w:val="00296FDF"/>
    <w:rsid w:val="0029715C"/>
    <w:rsid w:val="00297917"/>
    <w:rsid w:val="00297933"/>
    <w:rsid w:val="00297A87"/>
    <w:rsid w:val="00297B73"/>
    <w:rsid w:val="002A0097"/>
    <w:rsid w:val="002A00E5"/>
    <w:rsid w:val="002A03AA"/>
    <w:rsid w:val="002A093D"/>
    <w:rsid w:val="002A0B8A"/>
    <w:rsid w:val="002A0BE3"/>
    <w:rsid w:val="002A13F2"/>
    <w:rsid w:val="002A1463"/>
    <w:rsid w:val="002A14DD"/>
    <w:rsid w:val="002A162C"/>
    <w:rsid w:val="002A18F6"/>
    <w:rsid w:val="002A19DC"/>
    <w:rsid w:val="002A1AC2"/>
    <w:rsid w:val="002A1E3B"/>
    <w:rsid w:val="002A2237"/>
    <w:rsid w:val="002A23FE"/>
    <w:rsid w:val="002A2481"/>
    <w:rsid w:val="002A2E7D"/>
    <w:rsid w:val="002A301B"/>
    <w:rsid w:val="002A32A6"/>
    <w:rsid w:val="002A37D4"/>
    <w:rsid w:val="002A387A"/>
    <w:rsid w:val="002A3B7D"/>
    <w:rsid w:val="002A3F18"/>
    <w:rsid w:val="002A3F67"/>
    <w:rsid w:val="002A41B4"/>
    <w:rsid w:val="002A434C"/>
    <w:rsid w:val="002A4907"/>
    <w:rsid w:val="002A4C1E"/>
    <w:rsid w:val="002A4F72"/>
    <w:rsid w:val="002A560C"/>
    <w:rsid w:val="002A5679"/>
    <w:rsid w:val="002A6384"/>
    <w:rsid w:val="002A6592"/>
    <w:rsid w:val="002A67EA"/>
    <w:rsid w:val="002A69E3"/>
    <w:rsid w:val="002A6C25"/>
    <w:rsid w:val="002A6C5C"/>
    <w:rsid w:val="002A6CF4"/>
    <w:rsid w:val="002A6CF8"/>
    <w:rsid w:val="002A6EA5"/>
    <w:rsid w:val="002A6F86"/>
    <w:rsid w:val="002A7687"/>
    <w:rsid w:val="002A7727"/>
    <w:rsid w:val="002A780C"/>
    <w:rsid w:val="002A7DA9"/>
    <w:rsid w:val="002A7F18"/>
    <w:rsid w:val="002A7F74"/>
    <w:rsid w:val="002B02A6"/>
    <w:rsid w:val="002B05CF"/>
    <w:rsid w:val="002B078B"/>
    <w:rsid w:val="002B0A5D"/>
    <w:rsid w:val="002B0BB9"/>
    <w:rsid w:val="002B1149"/>
    <w:rsid w:val="002B11DB"/>
    <w:rsid w:val="002B13FB"/>
    <w:rsid w:val="002B1664"/>
    <w:rsid w:val="002B2189"/>
    <w:rsid w:val="002B227D"/>
    <w:rsid w:val="002B2ADB"/>
    <w:rsid w:val="002B2E76"/>
    <w:rsid w:val="002B2FDA"/>
    <w:rsid w:val="002B347E"/>
    <w:rsid w:val="002B34E7"/>
    <w:rsid w:val="002B3837"/>
    <w:rsid w:val="002B3A64"/>
    <w:rsid w:val="002B3B45"/>
    <w:rsid w:val="002B3BF7"/>
    <w:rsid w:val="002B3D92"/>
    <w:rsid w:val="002B3E3F"/>
    <w:rsid w:val="002B3F99"/>
    <w:rsid w:val="002B41A2"/>
    <w:rsid w:val="002B41C7"/>
    <w:rsid w:val="002B4456"/>
    <w:rsid w:val="002B462B"/>
    <w:rsid w:val="002B4BE9"/>
    <w:rsid w:val="002B51BD"/>
    <w:rsid w:val="002B51DB"/>
    <w:rsid w:val="002B58DE"/>
    <w:rsid w:val="002B59C2"/>
    <w:rsid w:val="002B5CDF"/>
    <w:rsid w:val="002B5E8B"/>
    <w:rsid w:val="002B5EA2"/>
    <w:rsid w:val="002B6220"/>
    <w:rsid w:val="002B625B"/>
    <w:rsid w:val="002B6676"/>
    <w:rsid w:val="002B6807"/>
    <w:rsid w:val="002B6A0B"/>
    <w:rsid w:val="002B6D71"/>
    <w:rsid w:val="002B6D93"/>
    <w:rsid w:val="002B7138"/>
    <w:rsid w:val="002B71A1"/>
    <w:rsid w:val="002B73DD"/>
    <w:rsid w:val="002B740C"/>
    <w:rsid w:val="002B7700"/>
    <w:rsid w:val="002B79B6"/>
    <w:rsid w:val="002B7B7A"/>
    <w:rsid w:val="002B7C92"/>
    <w:rsid w:val="002B7F30"/>
    <w:rsid w:val="002C0243"/>
    <w:rsid w:val="002C0269"/>
    <w:rsid w:val="002C064E"/>
    <w:rsid w:val="002C071C"/>
    <w:rsid w:val="002C0973"/>
    <w:rsid w:val="002C0CC0"/>
    <w:rsid w:val="002C0E40"/>
    <w:rsid w:val="002C0E8B"/>
    <w:rsid w:val="002C0EB3"/>
    <w:rsid w:val="002C0EE2"/>
    <w:rsid w:val="002C10C3"/>
    <w:rsid w:val="002C138F"/>
    <w:rsid w:val="002C14A4"/>
    <w:rsid w:val="002C14E8"/>
    <w:rsid w:val="002C1870"/>
    <w:rsid w:val="002C1BDD"/>
    <w:rsid w:val="002C1C06"/>
    <w:rsid w:val="002C1D56"/>
    <w:rsid w:val="002C1E3A"/>
    <w:rsid w:val="002C1FC7"/>
    <w:rsid w:val="002C213D"/>
    <w:rsid w:val="002C2314"/>
    <w:rsid w:val="002C2489"/>
    <w:rsid w:val="002C2649"/>
    <w:rsid w:val="002C2941"/>
    <w:rsid w:val="002C2997"/>
    <w:rsid w:val="002C2C5A"/>
    <w:rsid w:val="002C2FC3"/>
    <w:rsid w:val="002C3752"/>
    <w:rsid w:val="002C39E2"/>
    <w:rsid w:val="002C3AD0"/>
    <w:rsid w:val="002C3D11"/>
    <w:rsid w:val="002C3DC2"/>
    <w:rsid w:val="002C4282"/>
    <w:rsid w:val="002C5252"/>
    <w:rsid w:val="002C536C"/>
    <w:rsid w:val="002C6221"/>
    <w:rsid w:val="002C6375"/>
    <w:rsid w:val="002C6836"/>
    <w:rsid w:val="002C68A0"/>
    <w:rsid w:val="002C694B"/>
    <w:rsid w:val="002C6F78"/>
    <w:rsid w:val="002C71F3"/>
    <w:rsid w:val="002C751F"/>
    <w:rsid w:val="002D0303"/>
    <w:rsid w:val="002D062C"/>
    <w:rsid w:val="002D07CB"/>
    <w:rsid w:val="002D11DB"/>
    <w:rsid w:val="002D136C"/>
    <w:rsid w:val="002D14AA"/>
    <w:rsid w:val="002D1BEF"/>
    <w:rsid w:val="002D1E73"/>
    <w:rsid w:val="002D213B"/>
    <w:rsid w:val="002D21E8"/>
    <w:rsid w:val="002D2246"/>
    <w:rsid w:val="002D25F3"/>
    <w:rsid w:val="002D2769"/>
    <w:rsid w:val="002D2BAD"/>
    <w:rsid w:val="002D2BCF"/>
    <w:rsid w:val="002D2C66"/>
    <w:rsid w:val="002D2E9C"/>
    <w:rsid w:val="002D477F"/>
    <w:rsid w:val="002D48E5"/>
    <w:rsid w:val="002D4FBF"/>
    <w:rsid w:val="002D5510"/>
    <w:rsid w:val="002D570F"/>
    <w:rsid w:val="002D5AF0"/>
    <w:rsid w:val="002D65F0"/>
    <w:rsid w:val="002D676F"/>
    <w:rsid w:val="002D693B"/>
    <w:rsid w:val="002D6A5A"/>
    <w:rsid w:val="002D6E1E"/>
    <w:rsid w:val="002D6F24"/>
    <w:rsid w:val="002D7208"/>
    <w:rsid w:val="002D7655"/>
    <w:rsid w:val="002D7A73"/>
    <w:rsid w:val="002D7B69"/>
    <w:rsid w:val="002D7BD6"/>
    <w:rsid w:val="002D7E9D"/>
    <w:rsid w:val="002D7F71"/>
    <w:rsid w:val="002E001C"/>
    <w:rsid w:val="002E01BA"/>
    <w:rsid w:val="002E0222"/>
    <w:rsid w:val="002E0325"/>
    <w:rsid w:val="002E039B"/>
    <w:rsid w:val="002E043C"/>
    <w:rsid w:val="002E053F"/>
    <w:rsid w:val="002E0961"/>
    <w:rsid w:val="002E1601"/>
    <w:rsid w:val="002E1768"/>
    <w:rsid w:val="002E1BC2"/>
    <w:rsid w:val="002E1C55"/>
    <w:rsid w:val="002E1C8A"/>
    <w:rsid w:val="002E1CBA"/>
    <w:rsid w:val="002E266D"/>
    <w:rsid w:val="002E2C16"/>
    <w:rsid w:val="002E31F3"/>
    <w:rsid w:val="002E341E"/>
    <w:rsid w:val="002E3869"/>
    <w:rsid w:val="002E3A0A"/>
    <w:rsid w:val="002E3B44"/>
    <w:rsid w:val="002E3C0B"/>
    <w:rsid w:val="002E3F43"/>
    <w:rsid w:val="002E40C5"/>
    <w:rsid w:val="002E43A8"/>
    <w:rsid w:val="002E491D"/>
    <w:rsid w:val="002E4998"/>
    <w:rsid w:val="002E49C1"/>
    <w:rsid w:val="002E51CB"/>
    <w:rsid w:val="002E5452"/>
    <w:rsid w:val="002E5715"/>
    <w:rsid w:val="002E5784"/>
    <w:rsid w:val="002E57FA"/>
    <w:rsid w:val="002E590E"/>
    <w:rsid w:val="002E5B27"/>
    <w:rsid w:val="002E5D33"/>
    <w:rsid w:val="002E617A"/>
    <w:rsid w:val="002E65DE"/>
    <w:rsid w:val="002E67F9"/>
    <w:rsid w:val="002E6849"/>
    <w:rsid w:val="002E6877"/>
    <w:rsid w:val="002E6F5A"/>
    <w:rsid w:val="002E707F"/>
    <w:rsid w:val="002E7A84"/>
    <w:rsid w:val="002E7B1D"/>
    <w:rsid w:val="002E7F07"/>
    <w:rsid w:val="002F00A0"/>
    <w:rsid w:val="002F1201"/>
    <w:rsid w:val="002F141B"/>
    <w:rsid w:val="002F1471"/>
    <w:rsid w:val="002F17F4"/>
    <w:rsid w:val="002F183C"/>
    <w:rsid w:val="002F1CB2"/>
    <w:rsid w:val="002F1F5C"/>
    <w:rsid w:val="002F1FB6"/>
    <w:rsid w:val="002F225D"/>
    <w:rsid w:val="002F282D"/>
    <w:rsid w:val="002F3060"/>
    <w:rsid w:val="002F30C5"/>
    <w:rsid w:val="002F3688"/>
    <w:rsid w:val="002F36C9"/>
    <w:rsid w:val="002F36CC"/>
    <w:rsid w:val="002F412F"/>
    <w:rsid w:val="002F41B0"/>
    <w:rsid w:val="002F41F8"/>
    <w:rsid w:val="002F4293"/>
    <w:rsid w:val="002F43FC"/>
    <w:rsid w:val="002F50A6"/>
    <w:rsid w:val="002F5770"/>
    <w:rsid w:val="002F5818"/>
    <w:rsid w:val="002F58F3"/>
    <w:rsid w:val="002F5C85"/>
    <w:rsid w:val="002F624C"/>
    <w:rsid w:val="002F6481"/>
    <w:rsid w:val="002F6651"/>
    <w:rsid w:val="002F66EB"/>
    <w:rsid w:val="002F7260"/>
    <w:rsid w:val="002F77FD"/>
    <w:rsid w:val="002F7BE7"/>
    <w:rsid w:val="002F7E39"/>
    <w:rsid w:val="002F7FEC"/>
    <w:rsid w:val="00300729"/>
    <w:rsid w:val="00300944"/>
    <w:rsid w:val="0030094C"/>
    <w:rsid w:val="00301549"/>
    <w:rsid w:val="003017C0"/>
    <w:rsid w:val="00301F98"/>
    <w:rsid w:val="00301FF0"/>
    <w:rsid w:val="00302087"/>
    <w:rsid w:val="003021FD"/>
    <w:rsid w:val="00302264"/>
    <w:rsid w:val="00302283"/>
    <w:rsid w:val="00302396"/>
    <w:rsid w:val="0030278A"/>
    <w:rsid w:val="0030296B"/>
    <w:rsid w:val="00302AAB"/>
    <w:rsid w:val="0030311C"/>
    <w:rsid w:val="003033A3"/>
    <w:rsid w:val="0030344B"/>
    <w:rsid w:val="003039DF"/>
    <w:rsid w:val="00303A2C"/>
    <w:rsid w:val="00303B83"/>
    <w:rsid w:val="00303B8A"/>
    <w:rsid w:val="00303DDF"/>
    <w:rsid w:val="003044E3"/>
    <w:rsid w:val="00304545"/>
    <w:rsid w:val="003045B6"/>
    <w:rsid w:val="003046FC"/>
    <w:rsid w:val="00304741"/>
    <w:rsid w:val="003048C1"/>
    <w:rsid w:val="00304944"/>
    <w:rsid w:val="0030497F"/>
    <w:rsid w:val="003049B6"/>
    <w:rsid w:val="00304C62"/>
    <w:rsid w:val="00304C6E"/>
    <w:rsid w:val="00304EFB"/>
    <w:rsid w:val="00305024"/>
    <w:rsid w:val="00305068"/>
    <w:rsid w:val="003050F2"/>
    <w:rsid w:val="00305170"/>
    <w:rsid w:val="00305330"/>
    <w:rsid w:val="00305BFE"/>
    <w:rsid w:val="00305DA1"/>
    <w:rsid w:val="00305EF4"/>
    <w:rsid w:val="00306280"/>
    <w:rsid w:val="00306419"/>
    <w:rsid w:val="00306683"/>
    <w:rsid w:val="0030679B"/>
    <w:rsid w:val="003067B3"/>
    <w:rsid w:val="003067C1"/>
    <w:rsid w:val="003068EF"/>
    <w:rsid w:val="00306FFC"/>
    <w:rsid w:val="0030719F"/>
    <w:rsid w:val="00307330"/>
    <w:rsid w:val="0031028D"/>
    <w:rsid w:val="0031067B"/>
    <w:rsid w:val="00310DAF"/>
    <w:rsid w:val="003112E5"/>
    <w:rsid w:val="003115BB"/>
    <w:rsid w:val="0031179D"/>
    <w:rsid w:val="003120A7"/>
    <w:rsid w:val="0031211F"/>
    <w:rsid w:val="0031214F"/>
    <w:rsid w:val="003121F4"/>
    <w:rsid w:val="0031227C"/>
    <w:rsid w:val="0031228D"/>
    <w:rsid w:val="0031252D"/>
    <w:rsid w:val="003125C8"/>
    <w:rsid w:val="003129C4"/>
    <w:rsid w:val="003129E9"/>
    <w:rsid w:val="00312A1D"/>
    <w:rsid w:val="00312BAD"/>
    <w:rsid w:val="00313805"/>
    <w:rsid w:val="00313943"/>
    <w:rsid w:val="00313B51"/>
    <w:rsid w:val="00313C5B"/>
    <w:rsid w:val="00313CF2"/>
    <w:rsid w:val="003140BC"/>
    <w:rsid w:val="00314275"/>
    <w:rsid w:val="00314303"/>
    <w:rsid w:val="00314371"/>
    <w:rsid w:val="0031475A"/>
    <w:rsid w:val="00314B05"/>
    <w:rsid w:val="0031509F"/>
    <w:rsid w:val="00315315"/>
    <w:rsid w:val="0031555E"/>
    <w:rsid w:val="00315A34"/>
    <w:rsid w:val="00315B43"/>
    <w:rsid w:val="00315CE6"/>
    <w:rsid w:val="00315D6A"/>
    <w:rsid w:val="00315F29"/>
    <w:rsid w:val="00315FF9"/>
    <w:rsid w:val="003160A2"/>
    <w:rsid w:val="003161B9"/>
    <w:rsid w:val="00316734"/>
    <w:rsid w:val="0031674A"/>
    <w:rsid w:val="00316771"/>
    <w:rsid w:val="00316F86"/>
    <w:rsid w:val="00317049"/>
    <w:rsid w:val="0031730C"/>
    <w:rsid w:val="003175F4"/>
    <w:rsid w:val="00317663"/>
    <w:rsid w:val="003178C5"/>
    <w:rsid w:val="0031790E"/>
    <w:rsid w:val="00317D6B"/>
    <w:rsid w:val="00317FDD"/>
    <w:rsid w:val="003200AD"/>
    <w:rsid w:val="0032035A"/>
    <w:rsid w:val="00320CC4"/>
    <w:rsid w:val="00320F4B"/>
    <w:rsid w:val="00321012"/>
    <w:rsid w:val="003210F9"/>
    <w:rsid w:val="00321220"/>
    <w:rsid w:val="00321269"/>
    <w:rsid w:val="00321769"/>
    <w:rsid w:val="00321AFF"/>
    <w:rsid w:val="00321C5D"/>
    <w:rsid w:val="00321CC5"/>
    <w:rsid w:val="00322053"/>
    <w:rsid w:val="00322892"/>
    <w:rsid w:val="003229F7"/>
    <w:rsid w:val="00322A3F"/>
    <w:rsid w:val="00322E5F"/>
    <w:rsid w:val="003234B6"/>
    <w:rsid w:val="00323591"/>
    <w:rsid w:val="00323D0E"/>
    <w:rsid w:val="00323EE6"/>
    <w:rsid w:val="00324824"/>
    <w:rsid w:val="00324B53"/>
    <w:rsid w:val="00324FA3"/>
    <w:rsid w:val="003252DE"/>
    <w:rsid w:val="0032535C"/>
    <w:rsid w:val="00325637"/>
    <w:rsid w:val="0032567E"/>
    <w:rsid w:val="003256B5"/>
    <w:rsid w:val="0032584B"/>
    <w:rsid w:val="00325866"/>
    <w:rsid w:val="00326576"/>
    <w:rsid w:val="003265E7"/>
    <w:rsid w:val="00326A04"/>
    <w:rsid w:val="00326F03"/>
    <w:rsid w:val="0032706D"/>
    <w:rsid w:val="003276B6"/>
    <w:rsid w:val="003276D1"/>
    <w:rsid w:val="003277CE"/>
    <w:rsid w:val="00327F2F"/>
    <w:rsid w:val="0033025D"/>
    <w:rsid w:val="003305D2"/>
    <w:rsid w:val="003311CF"/>
    <w:rsid w:val="003314BB"/>
    <w:rsid w:val="003316C8"/>
    <w:rsid w:val="00331C86"/>
    <w:rsid w:val="00332254"/>
    <w:rsid w:val="003326FB"/>
    <w:rsid w:val="0033289C"/>
    <w:rsid w:val="00332A4E"/>
    <w:rsid w:val="00332D19"/>
    <w:rsid w:val="00332FBE"/>
    <w:rsid w:val="0033305C"/>
    <w:rsid w:val="003330C8"/>
    <w:rsid w:val="0033391D"/>
    <w:rsid w:val="00333BC4"/>
    <w:rsid w:val="00334489"/>
    <w:rsid w:val="003344CA"/>
    <w:rsid w:val="0033456A"/>
    <w:rsid w:val="003345E7"/>
    <w:rsid w:val="00334802"/>
    <w:rsid w:val="00334811"/>
    <w:rsid w:val="00334974"/>
    <w:rsid w:val="00334D98"/>
    <w:rsid w:val="00334E25"/>
    <w:rsid w:val="00335002"/>
    <w:rsid w:val="003357F7"/>
    <w:rsid w:val="003359E9"/>
    <w:rsid w:val="00335DC1"/>
    <w:rsid w:val="00335E8A"/>
    <w:rsid w:val="00336044"/>
    <w:rsid w:val="0033607C"/>
    <w:rsid w:val="00336566"/>
    <w:rsid w:val="00336887"/>
    <w:rsid w:val="00336914"/>
    <w:rsid w:val="00336D87"/>
    <w:rsid w:val="00337022"/>
    <w:rsid w:val="0033710C"/>
    <w:rsid w:val="0033728A"/>
    <w:rsid w:val="0033735F"/>
    <w:rsid w:val="00337500"/>
    <w:rsid w:val="003376E7"/>
    <w:rsid w:val="003378EC"/>
    <w:rsid w:val="00337D7F"/>
    <w:rsid w:val="0034011C"/>
    <w:rsid w:val="003405E9"/>
    <w:rsid w:val="00340A6F"/>
    <w:rsid w:val="00340B2D"/>
    <w:rsid w:val="003410FE"/>
    <w:rsid w:val="003411F6"/>
    <w:rsid w:val="00341286"/>
    <w:rsid w:val="00341311"/>
    <w:rsid w:val="00341527"/>
    <w:rsid w:val="0034153C"/>
    <w:rsid w:val="00341769"/>
    <w:rsid w:val="003418AE"/>
    <w:rsid w:val="003418B3"/>
    <w:rsid w:val="00341B9A"/>
    <w:rsid w:val="00341BC7"/>
    <w:rsid w:val="00341C4F"/>
    <w:rsid w:val="00341E8E"/>
    <w:rsid w:val="003421A7"/>
    <w:rsid w:val="00342852"/>
    <w:rsid w:val="003429F1"/>
    <w:rsid w:val="00342B4A"/>
    <w:rsid w:val="003432A5"/>
    <w:rsid w:val="00343521"/>
    <w:rsid w:val="00343785"/>
    <w:rsid w:val="00343A2F"/>
    <w:rsid w:val="00343C15"/>
    <w:rsid w:val="00343C4D"/>
    <w:rsid w:val="00343FA6"/>
    <w:rsid w:val="003441A3"/>
    <w:rsid w:val="0034436D"/>
    <w:rsid w:val="003444DF"/>
    <w:rsid w:val="0034462D"/>
    <w:rsid w:val="00344765"/>
    <w:rsid w:val="00344AF8"/>
    <w:rsid w:val="00344C8A"/>
    <w:rsid w:val="00344DB2"/>
    <w:rsid w:val="003452F9"/>
    <w:rsid w:val="00345303"/>
    <w:rsid w:val="00345B07"/>
    <w:rsid w:val="00345CCC"/>
    <w:rsid w:val="00346296"/>
    <w:rsid w:val="003468CD"/>
    <w:rsid w:val="00346A46"/>
    <w:rsid w:val="00346B52"/>
    <w:rsid w:val="00346D8B"/>
    <w:rsid w:val="00347B33"/>
    <w:rsid w:val="00347E02"/>
    <w:rsid w:val="00350008"/>
    <w:rsid w:val="00350039"/>
    <w:rsid w:val="003502A8"/>
    <w:rsid w:val="0035034F"/>
    <w:rsid w:val="0035053A"/>
    <w:rsid w:val="003506A0"/>
    <w:rsid w:val="00350B22"/>
    <w:rsid w:val="00350C7C"/>
    <w:rsid w:val="00350D46"/>
    <w:rsid w:val="00350EE2"/>
    <w:rsid w:val="0035117F"/>
    <w:rsid w:val="003512F8"/>
    <w:rsid w:val="003512FF"/>
    <w:rsid w:val="003514B0"/>
    <w:rsid w:val="003518E8"/>
    <w:rsid w:val="00351C77"/>
    <w:rsid w:val="00351DF7"/>
    <w:rsid w:val="00352777"/>
    <w:rsid w:val="00352B21"/>
    <w:rsid w:val="00352D55"/>
    <w:rsid w:val="00352E0F"/>
    <w:rsid w:val="00352FCB"/>
    <w:rsid w:val="00352FF7"/>
    <w:rsid w:val="00353110"/>
    <w:rsid w:val="00353166"/>
    <w:rsid w:val="00353257"/>
    <w:rsid w:val="003536A3"/>
    <w:rsid w:val="00353D85"/>
    <w:rsid w:val="00353E55"/>
    <w:rsid w:val="00353E74"/>
    <w:rsid w:val="00354186"/>
    <w:rsid w:val="003547A2"/>
    <w:rsid w:val="00354A23"/>
    <w:rsid w:val="00354BFD"/>
    <w:rsid w:val="00354CB1"/>
    <w:rsid w:val="003551F3"/>
    <w:rsid w:val="00355384"/>
    <w:rsid w:val="00355486"/>
    <w:rsid w:val="003554F8"/>
    <w:rsid w:val="00355638"/>
    <w:rsid w:val="0035569D"/>
    <w:rsid w:val="003557D4"/>
    <w:rsid w:val="00355821"/>
    <w:rsid w:val="003559DF"/>
    <w:rsid w:val="0035632C"/>
    <w:rsid w:val="003565FD"/>
    <w:rsid w:val="0035671B"/>
    <w:rsid w:val="0035671F"/>
    <w:rsid w:val="00356C80"/>
    <w:rsid w:val="00356D3D"/>
    <w:rsid w:val="00356F0C"/>
    <w:rsid w:val="0035704B"/>
    <w:rsid w:val="00357378"/>
    <w:rsid w:val="00357467"/>
    <w:rsid w:val="00357B4F"/>
    <w:rsid w:val="00357E4F"/>
    <w:rsid w:val="00357FF1"/>
    <w:rsid w:val="003601A0"/>
    <w:rsid w:val="003608F5"/>
    <w:rsid w:val="00360E2A"/>
    <w:rsid w:val="00360FCA"/>
    <w:rsid w:val="003610F6"/>
    <w:rsid w:val="00361169"/>
    <w:rsid w:val="00361658"/>
    <w:rsid w:val="0036181E"/>
    <w:rsid w:val="00361C2C"/>
    <w:rsid w:val="00361C2D"/>
    <w:rsid w:val="00361C66"/>
    <w:rsid w:val="00361F5B"/>
    <w:rsid w:val="0036219A"/>
    <w:rsid w:val="003623DF"/>
    <w:rsid w:val="003625B8"/>
    <w:rsid w:val="00362BEB"/>
    <w:rsid w:val="00362CF2"/>
    <w:rsid w:val="00362EEA"/>
    <w:rsid w:val="0036324A"/>
    <w:rsid w:val="00363436"/>
    <w:rsid w:val="0036362E"/>
    <w:rsid w:val="00363648"/>
    <w:rsid w:val="0036388B"/>
    <w:rsid w:val="0036390A"/>
    <w:rsid w:val="003639F5"/>
    <w:rsid w:val="00363A03"/>
    <w:rsid w:val="00363C49"/>
    <w:rsid w:val="00363D17"/>
    <w:rsid w:val="00363D80"/>
    <w:rsid w:val="00363F66"/>
    <w:rsid w:val="0036412A"/>
    <w:rsid w:val="00364159"/>
    <w:rsid w:val="003641B6"/>
    <w:rsid w:val="0036421C"/>
    <w:rsid w:val="003644B3"/>
    <w:rsid w:val="0036460A"/>
    <w:rsid w:val="003647F7"/>
    <w:rsid w:val="00364D90"/>
    <w:rsid w:val="00364E99"/>
    <w:rsid w:val="00365360"/>
    <w:rsid w:val="003659BB"/>
    <w:rsid w:val="00365C6B"/>
    <w:rsid w:val="00365C8D"/>
    <w:rsid w:val="003660CF"/>
    <w:rsid w:val="00366403"/>
    <w:rsid w:val="00366442"/>
    <w:rsid w:val="0036667A"/>
    <w:rsid w:val="003667D0"/>
    <w:rsid w:val="00366887"/>
    <w:rsid w:val="00366A54"/>
    <w:rsid w:val="00366CF6"/>
    <w:rsid w:val="00366E57"/>
    <w:rsid w:val="00366F98"/>
    <w:rsid w:val="003679D8"/>
    <w:rsid w:val="00367AEC"/>
    <w:rsid w:val="00367B91"/>
    <w:rsid w:val="0037026A"/>
    <w:rsid w:val="003703E1"/>
    <w:rsid w:val="003708D5"/>
    <w:rsid w:val="00370B99"/>
    <w:rsid w:val="00370BC3"/>
    <w:rsid w:val="00370EBF"/>
    <w:rsid w:val="003712C8"/>
    <w:rsid w:val="00371372"/>
    <w:rsid w:val="00371478"/>
    <w:rsid w:val="003715D8"/>
    <w:rsid w:val="0037163C"/>
    <w:rsid w:val="00371C01"/>
    <w:rsid w:val="00371FDB"/>
    <w:rsid w:val="00372520"/>
    <w:rsid w:val="00372801"/>
    <w:rsid w:val="00372FA3"/>
    <w:rsid w:val="003730D9"/>
    <w:rsid w:val="0037355C"/>
    <w:rsid w:val="003737CA"/>
    <w:rsid w:val="0037389D"/>
    <w:rsid w:val="00373941"/>
    <w:rsid w:val="00373953"/>
    <w:rsid w:val="00373A49"/>
    <w:rsid w:val="0037409D"/>
    <w:rsid w:val="003743A6"/>
    <w:rsid w:val="0037485F"/>
    <w:rsid w:val="00374EA1"/>
    <w:rsid w:val="003751A0"/>
    <w:rsid w:val="00375706"/>
    <w:rsid w:val="0037607E"/>
    <w:rsid w:val="003760E7"/>
    <w:rsid w:val="003762E4"/>
    <w:rsid w:val="00376624"/>
    <w:rsid w:val="00376738"/>
    <w:rsid w:val="00376880"/>
    <w:rsid w:val="0037697E"/>
    <w:rsid w:val="00376BB0"/>
    <w:rsid w:val="00376D19"/>
    <w:rsid w:val="00376E0A"/>
    <w:rsid w:val="00377053"/>
    <w:rsid w:val="0037705D"/>
    <w:rsid w:val="003774FA"/>
    <w:rsid w:val="00377645"/>
    <w:rsid w:val="003777CE"/>
    <w:rsid w:val="00377F7A"/>
    <w:rsid w:val="00377FB3"/>
    <w:rsid w:val="00380100"/>
    <w:rsid w:val="0038013E"/>
    <w:rsid w:val="00380152"/>
    <w:rsid w:val="00380457"/>
    <w:rsid w:val="00380516"/>
    <w:rsid w:val="0038053F"/>
    <w:rsid w:val="00380878"/>
    <w:rsid w:val="0038087C"/>
    <w:rsid w:val="00380909"/>
    <w:rsid w:val="00381436"/>
    <w:rsid w:val="00381928"/>
    <w:rsid w:val="00381FC6"/>
    <w:rsid w:val="00382A32"/>
    <w:rsid w:val="00382D37"/>
    <w:rsid w:val="00383451"/>
    <w:rsid w:val="00383670"/>
    <w:rsid w:val="003836F7"/>
    <w:rsid w:val="00383701"/>
    <w:rsid w:val="0038376B"/>
    <w:rsid w:val="003837E3"/>
    <w:rsid w:val="003838BF"/>
    <w:rsid w:val="00383928"/>
    <w:rsid w:val="00383DE1"/>
    <w:rsid w:val="00383FA9"/>
    <w:rsid w:val="0038427F"/>
    <w:rsid w:val="00384324"/>
    <w:rsid w:val="00384369"/>
    <w:rsid w:val="0038439E"/>
    <w:rsid w:val="00384908"/>
    <w:rsid w:val="0038499A"/>
    <w:rsid w:val="00384B43"/>
    <w:rsid w:val="00384D57"/>
    <w:rsid w:val="00384D95"/>
    <w:rsid w:val="00384E49"/>
    <w:rsid w:val="003853DF"/>
    <w:rsid w:val="00385526"/>
    <w:rsid w:val="00385907"/>
    <w:rsid w:val="00385B37"/>
    <w:rsid w:val="00385B49"/>
    <w:rsid w:val="00385BA3"/>
    <w:rsid w:val="00385CED"/>
    <w:rsid w:val="003860CF"/>
    <w:rsid w:val="00386345"/>
    <w:rsid w:val="00386456"/>
    <w:rsid w:val="003868DC"/>
    <w:rsid w:val="00386C2F"/>
    <w:rsid w:val="00386C80"/>
    <w:rsid w:val="00386D4D"/>
    <w:rsid w:val="00387568"/>
    <w:rsid w:val="00390034"/>
    <w:rsid w:val="0039041E"/>
    <w:rsid w:val="00390693"/>
    <w:rsid w:val="00390A02"/>
    <w:rsid w:val="00391057"/>
    <w:rsid w:val="00391086"/>
    <w:rsid w:val="0039117A"/>
    <w:rsid w:val="00391185"/>
    <w:rsid w:val="00391277"/>
    <w:rsid w:val="00391500"/>
    <w:rsid w:val="00391633"/>
    <w:rsid w:val="00391AC9"/>
    <w:rsid w:val="00391F15"/>
    <w:rsid w:val="00391F54"/>
    <w:rsid w:val="003920A9"/>
    <w:rsid w:val="00392293"/>
    <w:rsid w:val="003924FC"/>
    <w:rsid w:val="00392AFA"/>
    <w:rsid w:val="003933C0"/>
    <w:rsid w:val="00393628"/>
    <w:rsid w:val="0039375A"/>
    <w:rsid w:val="00393B95"/>
    <w:rsid w:val="00393CB4"/>
    <w:rsid w:val="00393D01"/>
    <w:rsid w:val="00393D32"/>
    <w:rsid w:val="00393EA2"/>
    <w:rsid w:val="003945DB"/>
    <w:rsid w:val="00394A53"/>
    <w:rsid w:val="00394D56"/>
    <w:rsid w:val="0039537E"/>
    <w:rsid w:val="003955CA"/>
    <w:rsid w:val="003957EB"/>
    <w:rsid w:val="00395907"/>
    <w:rsid w:val="00395B4D"/>
    <w:rsid w:val="00395D32"/>
    <w:rsid w:val="00395FFF"/>
    <w:rsid w:val="0039609F"/>
    <w:rsid w:val="00396230"/>
    <w:rsid w:val="003965A9"/>
    <w:rsid w:val="0039668A"/>
    <w:rsid w:val="0039699F"/>
    <w:rsid w:val="003969A0"/>
    <w:rsid w:val="00396A35"/>
    <w:rsid w:val="003972DF"/>
    <w:rsid w:val="00397503"/>
    <w:rsid w:val="00397765"/>
    <w:rsid w:val="003A00A9"/>
    <w:rsid w:val="003A02AC"/>
    <w:rsid w:val="003A0880"/>
    <w:rsid w:val="003A09AC"/>
    <w:rsid w:val="003A0B68"/>
    <w:rsid w:val="003A0B72"/>
    <w:rsid w:val="003A10AD"/>
    <w:rsid w:val="003A17AA"/>
    <w:rsid w:val="003A18E7"/>
    <w:rsid w:val="003A1EBE"/>
    <w:rsid w:val="003A1F7A"/>
    <w:rsid w:val="003A212F"/>
    <w:rsid w:val="003A26F2"/>
    <w:rsid w:val="003A298B"/>
    <w:rsid w:val="003A2CFF"/>
    <w:rsid w:val="003A3207"/>
    <w:rsid w:val="003A35F5"/>
    <w:rsid w:val="003A3CCD"/>
    <w:rsid w:val="003A3E63"/>
    <w:rsid w:val="003A3F26"/>
    <w:rsid w:val="003A42E0"/>
    <w:rsid w:val="003A4887"/>
    <w:rsid w:val="003A4E7B"/>
    <w:rsid w:val="003A4FFE"/>
    <w:rsid w:val="003A52DB"/>
    <w:rsid w:val="003A559B"/>
    <w:rsid w:val="003A55AF"/>
    <w:rsid w:val="003A56D4"/>
    <w:rsid w:val="003A5A46"/>
    <w:rsid w:val="003A5B54"/>
    <w:rsid w:val="003A6210"/>
    <w:rsid w:val="003A63DD"/>
    <w:rsid w:val="003A64CF"/>
    <w:rsid w:val="003A6846"/>
    <w:rsid w:val="003A6BE4"/>
    <w:rsid w:val="003A6C58"/>
    <w:rsid w:val="003A6C8B"/>
    <w:rsid w:val="003A6D90"/>
    <w:rsid w:val="003A6E65"/>
    <w:rsid w:val="003A6FE3"/>
    <w:rsid w:val="003A7356"/>
    <w:rsid w:val="003A759B"/>
    <w:rsid w:val="003A79F7"/>
    <w:rsid w:val="003A79FD"/>
    <w:rsid w:val="003A7BCE"/>
    <w:rsid w:val="003B01D0"/>
    <w:rsid w:val="003B02CE"/>
    <w:rsid w:val="003B048C"/>
    <w:rsid w:val="003B04B3"/>
    <w:rsid w:val="003B04F7"/>
    <w:rsid w:val="003B05A0"/>
    <w:rsid w:val="003B0785"/>
    <w:rsid w:val="003B0CD0"/>
    <w:rsid w:val="003B0D25"/>
    <w:rsid w:val="003B0F36"/>
    <w:rsid w:val="003B100E"/>
    <w:rsid w:val="003B139F"/>
    <w:rsid w:val="003B15F9"/>
    <w:rsid w:val="003B1686"/>
    <w:rsid w:val="003B197D"/>
    <w:rsid w:val="003B1C51"/>
    <w:rsid w:val="003B261A"/>
    <w:rsid w:val="003B27B8"/>
    <w:rsid w:val="003B2C2A"/>
    <w:rsid w:val="003B2C8E"/>
    <w:rsid w:val="003B307C"/>
    <w:rsid w:val="003B3CCA"/>
    <w:rsid w:val="003B4A32"/>
    <w:rsid w:val="003B4C16"/>
    <w:rsid w:val="003B5114"/>
    <w:rsid w:val="003B51F7"/>
    <w:rsid w:val="003B5358"/>
    <w:rsid w:val="003B53E9"/>
    <w:rsid w:val="003B5461"/>
    <w:rsid w:val="003B594F"/>
    <w:rsid w:val="003B5996"/>
    <w:rsid w:val="003B6157"/>
    <w:rsid w:val="003B6391"/>
    <w:rsid w:val="003B6503"/>
    <w:rsid w:val="003B67BB"/>
    <w:rsid w:val="003B691F"/>
    <w:rsid w:val="003B6D8D"/>
    <w:rsid w:val="003B7D19"/>
    <w:rsid w:val="003B7DF6"/>
    <w:rsid w:val="003C00EA"/>
    <w:rsid w:val="003C04FE"/>
    <w:rsid w:val="003C1178"/>
    <w:rsid w:val="003C17B5"/>
    <w:rsid w:val="003C181A"/>
    <w:rsid w:val="003C1CAB"/>
    <w:rsid w:val="003C1EB7"/>
    <w:rsid w:val="003C1F03"/>
    <w:rsid w:val="003C1FB7"/>
    <w:rsid w:val="003C22D1"/>
    <w:rsid w:val="003C22FD"/>
    <w:rsid w:val="003C24F6"/>
    <w:rsid w:val="003C2A1D"/>
    <w:rsid w:val="003C2DDE"/>
    <w:rsid w:val="003C2F96"/>
    <w:rsid w:val="003C3465"/>
    <w:rsid w:val="003C354D"/>
    <w:rsid w:val="003C3760"/>
    <w:rsid w:val="003C37C1"/>
    <w:rsid w:val="003C3831"/>
    <w:rsid w:val="003C39FD"/>
    <w:rsid w:val="003C3FC7"/>
    <w:rsid w:val="003C3FDE"/>
    <w:rsid w:val="003C407D"/>
    <w:rsid w:val="003C41D8"/>
    <w:rsid w:val="003C44A2"/>
    <w:rsid w:val="003C472F"/>
    <w:rsid w:val="003C4887"/>
    <w:rsid w:val="003C4AA3"/>
    <w:rsid w:val="003C4B67"/>
    <w:rsid w:val="003C4BD9"/>
    <w:rsid w:val="003C5905"/>
    <w:rsid w:val="003C5A6B"/>
    <w:rsid w:val="003C5CFE"/>
    <w:rsid w:val="003C5F11"/>
    <w:rsid w:val="003C6975"/>
    <w:rsid w:val="003C6CB9"/>
    <w:rsid w:val="003C6CCF"/>
    <w:rsid w:val="003C6E78"/>
    <w:rsid w:val="003C6F19"/>
    <w:rsid w:val="003C71A9"/>
    <w:rsid w:val="003C732A"/>
    <w:rsid w:val="003C75B6"/>
    <w:rsid w:val="003C79A0"/>
    <w:rsid w:val="003C7BA0"/>
    <w:rsid w:val="003C7FF7"/>
    <w:rsid w:val="003D00E2"/>
    <w:rsid w:val="003D025C"/>
    <w:rsid w:val="003D0361"/>
    <w:rsid w:val="003D0439"/>
    <w:rsid w:val="003D04D8"/>
    <w:rsid w:val="003D04E4"/>
    <w:rsid w:val="003D09E9"/>
    <w:rsid w:val="003D0C38"/>
    <w:rsid w:val="003D0C63"/>
    <w:rsid w:val="003D0E24"/>
    <w:rsid w:val="003D121E"/>
    <w:rsid w:val="003D165B"/>
    <w:rsid w:val="003D16B2"/>
    <w:rsid w:val="003D17A1"/>
    <w:rsid w:val="003D193A"/>
    <w:rsid w:val="003D196F"/>
    <w:rsid w:val="003D1A1E"/>
    <w:rsid w:val="003D1A9E"/>
    <w:rsid w:val="003D1F92"/>
    <w:rsid w:val="003D2164"/>
    <w:rsid w:val="003D237C"/>
    <w:rsid w:val="003D240E"/>
    <w:rsid w:val="003D2499"/>
    <w:rsid w:val="003D24DE"/>
    <w:rsid w:val="003D2563"/>
    <w:rsid w:val="003D28D0"/>
    <w:rsid w:val="003D2CB5"/>
    <w:rsid w:val="003D2FCF"/>
    <w:rsid w:val="003D30FE"/>
    <w:rsid w:val="003D311E"/>
    <w:rsid w:val="003D357B"/>
    <w:rsid w:val="003D4445"/>
    <w:rsid w:val="003D4953"/>
    <w:rsid w:val="003D4AEF"/>
    <w:rsid w:val="003D4C32"/>
    <w:rsid w:val="003D4CC3"/>
    <w:rsid w:val="003D4CD6"/>
    <w:rsid w:val="003D4DCE"/>
    <w:rsid w:val="003D4FB3"/>
    <w:rsid w:val="003D524F"/>
    <w:rsid w:val="003D53FA"/>
    <w:rsid w:val="003D55F1"/>
    <w:rsid w:val="003D582F"/>
    <w:rsid w:val="003D5D01"/>
    <w:rsid w:val="003D5D0E"/>
    <w:rsid w:val="003D5E3F"/>
    <w:rsid w:val="003D5E42"/>
    <w:rsid w:val="003D601B"/>
    <w:rsid w:val="003D60E6"/>
    <w:rsid w:val="003D63D7"/>
    <w:rsid w:val="003D6823"/>
    <w:rsid w:val="003D6D9A"/>
    <w:rsid w:val="003D6E27"/>
    <w:rsid w:val="003D6E6B"/>
    <w:rsid w:val="003D74B9"/>
    <w:rsid w:val="003D7725"/>
    <w:rsid w:val="003D796B"/>
    <w:rsid w:val="003D7AB8"/>
    <w:rsid w:val="003D7D55"/>
    <w:rsid w:val="003D7E18"/>
    <w:rsid w:val="003E0187"/>
    <w:rsid w:val="003E024B"/>
    <w:rsid w:val="003E02F7"/>
    <w:rsid w:val="003E05E8"/>
    <w:rsid w:val="003E0824"/>
    <w:rsid w:val="003E0F72"/>
    <w:rsid w:val="003E1121"/>
    <w:rsid w:val="003E12B1"/>
    <w:rsid w:val="003E18E0"/>
    <w:rsid w:val="003E1D5A"/>
    <w:rsid w:val="003E1E32"/>
    <w:rsid w:val="003E23A5"/>
    <w:rsid w:val="003E256D"/>
    <w:rsid w:val="003E3277"/>
    <w:rsid w:val="003E32BC"/>
    <w:rsid w:val="003E3909"/>
    <w:rsid w:val="003E3A5D"/>
    <w:rsid w:val="003E3BCA"/>
    <w:rsid w:val="003E3C63"/>
    <w:rsid w:val="003E3EBB"/>
    <w:rsid w:val="003E4127"/>
    <w:rsid w:val="003E426E"/>
    <w:rsid w:val="003E433F"/>
    <w:rsid w:val="003E4354"/>
    <w:rsid w:val="003E43A1"/>
    <w:rsid w:val="003E46A8"/>
    <w:rsid w:val="003E4760"/>
    <w:rsid w:val="003E481A"/>
    <w:rsid w:val="003E4E40"/>
    <w:rsid w:val="003E4FA9"/>
    <w:rsid w:val="003E5072"/>
    <w:rsid w:val="003E5244"/>
    <w:rsid w:val="003E53E8"/>
    <w:rsid w:val="003E575A"/>
    <w:rsid w:val="003E58E2"/>
    <w:rsid w:val="003E5972"/>
    <w:rsid w:val="003E5C6C"/>
    <w:rsid w:val="003E5F00"/>
    <w:rsid w:val="003E6254"/>
    <w:rsid w:val="003E6439"/>
    <w:rsid w:val="003E64A2"/>
    <w:rsid w:val="003E64E5"/>
    <w:rsid w:val="003E6755"/>
    <w:rsid w:val="003E6FB1"/>
    <w:rsid w:val="003E71D2"/>
    <w:rsid w:val="003E735A"/>
    <w:rsid w:val="003E75B5"/>
    <w:rsid w:val="003E7E59"/>
    <w:rsid w:val="003F0141"/>
    <w:rsid w:val="003F0552"/>
    <w:rsid w:val="003F0664"/>
    <w:rsid w:val="003F08D2"/>
    <w:rsid w:val="003F107F"/>
    <w:rsid w:val="003F1660"/>
    <w:rsid w:val="003F198E"/>
    <w:rsid w:val="003F1A31"/>
    <w:rsid w:val="003F1C5B"/>
    <w:rsid w:val="003F1F80"/>
    <w:rsid w:val="003F2873"/>
    <w:rsid w:val="003F2935"/>
    <w:rsid w:val="003F2A4A"/>
    <w:rsid w:val="003F2DC6"/>
    <w:rsid w:val="003F2E2F"/>
    <w:rsid w:val="003F2EDD"/>
    <w:rsid w:val="003F32B4"/>
    <w:rsid w:val="003F331B"/>
    <w:rsid w:val="003F4082"/>
    <w:rsid w:val="003F4148"/>
    <w:rsid w:val="003F421E"/>
    <w:rsid w:val="003F4339"/>
    <w:rsid w:val="003F4471"/>
    <w:rsid w:val="003F49FF"/>
    <w:rsid w:val="003F4A27"/>
    <w:rsid w:val="003F4CA0"/>
    <w:rsid w:val="003F508E"/>
    <w:rsid w:val="003F51DC"/>
    <w:rsid w:val="003F58EE"/>
    <w:rsid w:val="003F58FA"/>
    <w:rsid w:val="003F5E5C"/>
    <w:rsid w:val="003F61FF"/>
    <w:rsid w:val="003F65B3"/>
    <w:rsid w:val="003F65CC"/>
    <w:rsid w:val="003F670D"/>
    <w:rsid w:val="003F6890"/>
    <w:rsid w:val="003F6A1F"/>
    <w:rsid w:val="003F6B7C"/>
    <w:rsid w:val="003F6D8D"/>
    <w:rsid w:val="003F7124"/>
    <w:rsid w:val="003F71D1"/>
    <w:rsid w:val="003F7200"/>
    <w:rsid w:val="003F7464"/>
    <w:rsid w:val="003F7A42"/>
    <w:rsid w:val="003F7B1D"/>
    <w:rsid w:val="003F7D73"/>
    <w:rsid w:val="003F7E03"/>
    <w:rsid w:val="003F7E69"/>
    <w:rsid w:val="003F7EE0"/>
    <w:rsid w:val="00400381"/>
    <w:rsid w:val="004004B6"/>
    <w:rsid w:val="004005D1"/>
    <w:rsid w:val="0040086B"/>
    <w:rsid w:val="00400D28"/>
    <w:rsid w:val="004010F5"/>
    <w:rsid w:val="004011C2"/>
    <w:rsid w:val="004013A3"/>
    <w:rsid w:val="00401768"/>
    <w:rsid w:val="004017E8"/>
    <w:rsid w:val="004018D2"/>
    <w:rsid w:val="004018D3"/>
    <w:rsid w:val="00401B5A"/>
    <w:rsid w:val="00402005"/>
    <w:rsid w:val="0040213F"/>
    <w:rsid w:val="00402414"/>
    <w:rsid w:val="00402516"/>
    <w:rsid w:val="00402B11"/>
    <w:rsid w:val="00402BEE"/>
    <w:rsid w:val="00402E5D"/>
    <w:rsid w:val="00402F52"/>
    <w:rsid w:val="00403644"/>
    <w:rsid w:val="00404063"/>
    <w:rsid w:val="00404253"/>
    <w:rsid w:val="004042C3"/>
    <w:rsid w:val="004045EC"/>
    <w:rsid w:val="00404796"/>
    <w:rsid w:val="004048BD"/>
    <w:rsid w:val="00404CC4"/>
    <w:rsid w:val="00404EC3"/>
    <w:rsid w:val="004054B2"/>
    <w:rsid w:val="004060B7"/>
    <w:rsid w:val="004064F0"/>
    <w:rsid w:val="004068FA"/>
    <w:rsid w:val="00406F30"/>
    <w:rsid w:val="00407104"/>
    <w:rsid w:val="0040717F"/>
    <w:rsid w:val="004073C1"/>
    <w:rsid w:val="004073E6"/>
    <w:rsid w:val="0040789C"/>
    <w:rsid w:val="004078D5"/>
    <w:rsid w:val="0040790A"/>
    <w:rsid w:val="00407E10"/>
    <w:rsid w:val="004100F4"/>
    <w:rsid w:val="004102FD"/>
    <w:rsid w:val="004104D9"/>
    <w:rsid w:val="00410508"/>
    <w:rsid w:val="004109A4"/>
    <w:rsid w:val="00410A8C"/>
    <w:rsid w:val="004110E0"/>
    <w:rsid w:val="00411A2C"/>
    <w:rsid w:val="00412048"/>
    <w:rsid w:val="0041229D"/>
    <w:rsid w:val="004125F0"/>
    <w:rsid w:val="00412735"/>
    <w:rsid w:val="00412E97"/>
    <w:rsid w:val="00412F07"/>
    <w:rsid w:val="00412FAC"/>
    <w:rsid w:val="004135D2"/>
    <w:rsid w:val="0041361A"/>
    <w:rsid w:val="0041396A"/>
    <w:rsid w:val="004139A9"/>
    <w:rsid w:val="00413CB5"/>
    <w:rsid w:val="00413DD2"/>
    <w:rsid w:val="0041409B"/>
    <w:rsid w:val="004140FF"/>
    <w:rsid w:val="00414485"/>
    <w:rsid w:val="004144FB"/>
    <w:rsid w:val="00414809"/>
    <w:rsid w:val="00414A95"/>
    <w:rsid w:val="00414B71"/>
    <w:rsid w:val="00415276"/>
    <w:rsid w:val="0041550D"/>
    <w:rsid w:val="00415EB8"/>
    <w:rsid w:val="00415F5D"/>
    <w:rsid w:val="00415F88"/>
    <w:rsid w:val="00415FAB"/>
    <w:rsid w:val="004160D9"/>
    <w:rsid w:val="00416169"/>
    <w:rsid w:val="0041651D"/>
    <w:rsid w:val="00416745"/>
    <w:rsid w:val="00416993"/>
    <w:rsid w:val="00416B37"/>
    <w:rsid w:val="00416B3F"/>
    <w:rsid w:val="00416BBA"/>
    <w:rsid w:val="00416E76"/>
    <w:rsid w:val="00417232"/>
    <w:rsid w:val="00417277"/>
    <w:rsid w:val="00417B42"/>
    <w:rsid w:val="00420532"/>
    <w:rsid w:val="0042060D"/>
    <w:rsid w:val="00420734"/>
    <w:rsid w:val="00420876"/>
    <w:rsid w:val="00420A97"/>
    <w:rsid w:val="00420EC9"/>
    <w:rsid w:val="00420FC4"/>
    <w:rsid w:val="004218A7"/>
    <w:rsid w:val="00421B66"/>
    <w:rsid w:val="00421DE0"/>
    <w:rsid w:val="004224D7"/>
    <w:rsid w:val="004224F8"/>
    <w:rsid w:val="004228A3"/>
    <w:rsid w:val="00422D68"/>
    <w:rsid w:val="00423228"/>
    <w:rsid w:val="004233A4"/>
    <w:rsid w:val="004233EE"/>
    <w:rsid w:val="00423402"/>
    <w:rsid w:val="004237BF"/>
    <w:rsid w:val="00423907"/>
    <w:rsid w:val="00423A12"/>
    <w:rsid w:val="00423A48"/>
    <w:rsid w:val="00423B42"/>
    <w:rsid w:val="00423EF2"/>
    <w:rsid w:val="00424399"/>
    <w:rsid w:val="00424886"/>
    <w:rsid w:val="00424C5F"/>
    <w:rsid w:val="00424D61"/>
    <w:rsid w:val="00424D70"/>
    <w:rsid w:val="0042546B"/>
    <w:rsid w:val="004254FF"/>
    <w:rsid w:val="0042563B"/>
    <w:rsid w:val="00425A21"/>
    <w:rsid w:val="00425FC6"/>
    <w:rsid w:val="0042604B"/>
    <w:rsid w:val="00426338"/>
    <w:rsid w:val="004268E5"/>
    <w:rsid w:val="00426A72"/>
    <w:rsid w:val="00427237"/>
    <w:rsid w:val="00427808"/>
    <w:rsid w:val="0042795E"/>
    <w:rsid w:val="00427A0D"/>
    <w:rsid w:val="0043070C"/>
    <w:rsid w:val="0043091A"/>
    <w:rsid w:val="00430A7C"/>
    <w:rsid w:val="00430DB7"/>
    <w:rsid w:val="004312AA"/>
    <w:rsid w:val="00431501"/>
    <w:rsid w:val="00431632"/>
    <w:rsid w:val="004316C0"/>
    <w:rsid w:val="004317D0"/>
    <w:rsid w:val="00431B08"/>
    <w:rsid w:val="00431C49"/>
    <w:rsid w:val="00432002"/>
    <w:rsid w:val="004324AD"/>
    <w:rsid w:val="00432707"/>
    <w:rsid w:val="00432DDB"/>
    <w:rsid w:val="00432FAC"/>
    <w:rsid w:val="00433145"/>
    <w:rsid w:val="00433537"/>
    <w:rsid w:val="004338DB"/>
    <w:rsid w:val="00433920"/>
    <w:rsid w:val="00433B56"/>
    <w:rsid w:val="00433B7F"/>
    <w:rsid w:val="00433D93"/>
    <w:rsid w:val="004340C0"/>
    <w:rsid w:val="0043438E"/>
    <w:rsid w:val="004345F0"/>
    <w:rsid w:val="004347BE"/>
    <w:rsid w:val="004349F0"/>
    <w:rsid w:val="00434AAF"/>
    <w:rsid w:val="00434C84"/>
    <w:rsid w:val="00434E01"/>
    <w:rsid w:val="00434EC5"/>
    <w:rsid w:val="00434F7E"/>
    <w:rsid w:val="00435183"/>
    <w:rsid w:val="004351AC"/>
    <w:rsid w:val="0043528D"/>
    <w:rsid w:val="004353F7"/>
    <w:rsid w:val="00435488"/>
    <w:rsid w:val="004357A4"/>
    <w:rsid w:val="00435888"/>
    <w:rsid w:val="00435B2E"/>
    <w:rsid w:val="0043666A"/>
    <w:rsid w:val="004367E6"/>
    <w:rsid w:val="004368F8"/>
    <w:rsid w:val="004369AB"/>
    <w:rsid w:val="004372FB"/>
    <w:rsid w:val="004373A2"/>
    <w:rsid w:val="004374BB"/>
    <w:rsid w:val="0043760C"/>
    <w:rsid w:val="004376DA"/>
    <w:rsid w:val="004377D4"/>
    <w:rsid w:val="00437835"/>
    <w:rsid w:val="00437BC6"/>
    <w:rsid w:val="00437F38"/>
    <w:rsid w:val="0044001F"/>
    <w:rsid w:val="004404AD"/>
    <w:rsid w:val="004412C7"/>
    <w:rsid w:val="00441523"/>
    <w:rsid w:val="004415CA"/>
    <w:rsid w:val="004416E1"/>
    <w:rsid w:val="00441846"/>
    <w:rsid w:val="00441F48"/>
    <w:rsid w:val="0044232D"/>
    <w:rsid w:val="00442A74"/>
    <w:rsid w:val="00442B16"/>
    <w:rsid w:val="00442EB1"/>
    <w:rsid w:val="00443487"/>
    <w:rsid w:val="0044357C"/>
    <w:rsid w:val="004435C6"/>
    <w:rsid w:val="004435E3"/>
    <w:rsid w:val="00443624"/>
    <w:rsid w:val="004439A8"/>
    <w:rsid w:val="00443D4D"/>
    <w:rsid w:val="004444D3"/>
    <w:rsid w:val="00444B08"/>
    <w:rsid w:val="00445069"/>
    <w:rsid w:val="00445745"/>
    <w:rsid w:val="00445951"/>
    <w:rsid w:val="00445B42"/>
    <w:rsid w:val="00445D55"/>
    <w:rsid w:val="004461DB"/>
    <w:rsid w:val="004464F9"/>
    <w:rsid w:val="00446D78"/>
    <w:rsid w:val="00446DD0"/>
    <w:rsid w:val="00446F9B"/>
    <w:rsid w:val="00447389"/>
    <w:rsid w:val="004476DB"/>
    <w:rsid w:val="004476EC"/>
    <w:rsid w:val="004479F5"/>
    <w:rsid w:val="004503DF"/>
    <w:rsid w:val="00450449"/>
    <w:rsid w:val="00450714"/>
    <w:rsid w:val="00450BBE"/>
    <w:rsid w:val="00450D2B"/>
    <w:rsid w:val="00450F92"/>
    <w:rsid w:val="00451873"/>
    <w:rsid w:val="00451A0E"/>
    <w:rsid w:val="00452032"/>
    <w:rsid w:val="004521D9"/>
    <w:rsid w:val="00452283"/>
    <w:rsid w:val="004523BE"/>
    <w:rsid w:val="00452860"/>
    <w:rsid w:val="00452A44"/>
    <w:rsid w:val="00452EE6"/>
    <w:rsid w:val="0045335A"/>
    <w:rsid w:val="0045355D"/>
    <w:rsid w:val="0045373F"/>
    <w:rsid w:val="00453A22"/>
    <w:rsid w:val="00453B2C"/>
    <w:rsid w:val="00453CB8"/>
    <w:rsid w:val="0045491F"/>
    <w:rsid w:val="004549A1"/>
    <w:rsid w:val="00454DD6"/>
    <w:rsid w:val="004550A0"/>
    <w:rsid w:val="0045518F"/>
    <w:rsid w:val="00455302"/>
    <w:rsid w:val="00455765"/>
    <w:rsid w:val="00455918"/>
    <w:rsid w:val="00455B1E"/>
    <w:rsid w:val="00455E1A"/>
    <w:rsid w:val="004560F3"/>
    <w:rsid w:val="00456278"/>
    <w:rsid w:val="0045629B"/>
    <w:rsid w:val="0045686C"/>
    <w:rsid w:val="00456950"/>
    <w:rsid w:val="00456D51"/>
    <w:rsid w:val="00456D75"/>
    <w:rsid w:val="0045713B"/>
    <w:rsid w:val="004575AC"/>
    <w:rsid w:val="004578D3"/>
    <w:rsid w:val="00457904"/>
    <w:rsid w:val="00457B26"/>
    <w:rsid w:val="00457BAA"/>
    <w:rsid w:val="00457E05"/>
    <w:rsid w:val="00457FB6"/>
    <w:rsid w:val="004601BD"/>
    <w:rsid w:val="00460432"/>
    <w:rsid w:val="004604BD"/>
    <w:rsid w:val="004605F1"/>
    <w:rsid w:val="0046062C"/>
    <w:rsid w:val="00460783"/>
    <w:rsid w:val="00460D14"/>
    <w:rsid w:val="004611BA"/>
    <w:rsid w:val="0046169E"/>
    <w:rsid w:val="004618AA"/>
    <w:rsid w:val="00461B2C"/>
    <w:rsid w:val="00461C25"/>
    <w:rsid w:val="00461C54"/>
    <w:rsid w:val="00461CD3"/>
    <w:rsid w:val="00462370"/>
    <w:rsid w:val="004628BB"/>
    <w:rsid w:val="0046292B"/>
    <w:rsid w:val="00462A05"/>
    <w:rsid w:val="00462F21"/>
    <w:rsid w:val="00462F40"/>
    <w:rsid w:val="00462F8E"/>
    <w:rsid w:val="004630F9"/>
    <w:rsid w:val="00463187"/>
    <w:rsid w:val="00463546"/>
    <w:rsid w:val="00463606"/>
    <w:rsid w:val="004636CD"/>
    <w:rsid w:val="00463B8E"/>
    <w:rsid w:val="00463C6A"/>
    <w:rsid w:val="00463FA5"/>
    <w:rsid w:val="004641AC"/>
    <w:rsid w:val="00464467"/>
    <w:rsid w:val="004644E1"/>
    <w:rsid w:val="004644EB"/>
    <w:rsid w:val="0046456E"/>
    <w:rsid w:val="004645E5"/>
    <w:rsid w:val="0046494C"/>
    <w:rsid w:val="00464971"/>
    <w:rsid w:val="00464BB0"/>
    <w:rsid w:val="00464C2F"/>
    <w:rsid w:val="00464F03"/>
    <w:rsid w:val="004651FA"/>
    <w:rsid w:val="00465424"/>
    <w:rsid w:val="00465A8E"/>
    <w:rsid w:val="00465B17"/>
    <w:rsid w:val="004660D3"/>
    <w:rsid w:val="0046624C"/>
    <w:rsid w:val="00466439"/>
    <w:rsid w:val="004669A8"/>
    <w:rsid w:val="00466BB4"/>
    <w:rsid w:val="00466E26"/>
    <w:rsid w:val="00466F07"/>
    <w:rsid w:val="0046765C"/>
    <w:rsid w:val="00467660"/>
    <w:rsid w:val="00467B6D"/>
    <w:rsid w:val="00467C9F"/>
    <w:rsid w:val="00467DF7"/>
    <w:rsid w:val="0047037F"/>
    <w:rsid w:val="004703D7"/>
    <w:rsid w:val="00470803"/>
    <w:rsid w:val="00470F5E"/>
    <w:rsid w:val="00471275"/>
    <w:rsid w:val="0047139E"/>
    <w:rsid w:val="004713B0"/>
    <w:rsid w:val="00471481"/>
    <w:rsid w:val="004716E0"/>
    <w:rsid w:val="00471879"/>
    <w:rsid w:val="00471888"/>
    <w:rsid w:val="00471902"/>
    <w:rsid w:val="00471CBB"/>
    <w:rsid w:val="00472060"/>
    <w:rsid w:val="00472226"/>
    <w:rsid w:val="00472471"/>
    <w:rsid w:val="00472A3F"/>
    <w:rsid w:val="00472E1E"/>
    <w:rsid w:val="00473004"/>
    <w:rsid w:val="0047302D"/>
    <w:rsid w:val="00473129"/>
    <w:rsid w:val="004731DC"/>
    <w:rsid w:val="0047361A"/>
    <w:rsid w:val="00473F56"/>
    <w:rsid w:val="00473F7F"/>
    <w:rsid w:val="00473FC3"/>
    <w:rsid w:val="00474140"/>
    <w:rsid w:val="004742F0"/>
    <w:rsid w:val="004745DE"/>
    <w:rsid w:val="004748C8"/>
    <w:rsid w:val="0047494A"/>
    <w:rsid w:val="004749D3"/>
    <w:rsid w:val="00474A19"/>
    <w:rsid w:val="00475000"/>
    <w:rsid w:val="0047529F"/>
    <w:rsid w:val="00475401"/>
    <w:rsid w:val="0047556B"/>
    <w:rsid w:val="00475622"/>
    <w:rsid w:val="00475CC6"/>
    <w:rsid w:val="00475E31"/>
    <w:rsid w:val="00475FBD"/>
    <w:rsid w:val="00476503"/>
    <w:rsid w:val="004769B3"/>
    <w:rsid w:val="00476A29"/>
    <w:rsid w:val="00476B5D"/>
    <w:rsid w:val="00476CB4"/>
    <w:rsid w:val="00476EC4"/>
    <w:rsid w:val="00477455"/>
    <w:rsid w:val="00480142"/>
    <w:rsid w:val="004802AF"/>
    <w:rsid w:val="0048057A"/>
    <w:rsid w:val="004805A8"/>
    <w:rsid w:val="00480851"/>
    <w:rsid w:val="00480AC6"/>
    <w:rsid w:val="00480F6B"/>
    <w:rsid w:val="0048124B"/>
    <w:rsid w:val="004812EF"/>
    <w:rsid w:val="00481556"/>
    <w:rsid w:val="0048196B"/>
    <w:rsid w:val="004819C9"/>
    <w:rsid w:val="00481B8A"/>
    <w:rsid w:val="00481C43"/>
    <w:rsid w:val="00481D0B"/>
    <w:rsid w:val="00481E23"/>
    <w:rsid w:val="0048235C"/>
    <w:rsid w:val="0048274A"/>
    <w:rsid w:val="00482805"/>
    <w:rsid w:val="004829BF"/>
    <w:rsid w:val="00482A10"/>
    <w:rsid w:val="004839B6"/>
    <w:rsid w:val="00483C8D"/>
    <w:rsid w:val="00483ED8"/>
    <w:rsid w:val="00483F97"/>
    <w:rsid w:val="00483FA6"/>
    <w:rsid w:val="0048409C"/>
    <w:rsid w:val="004842CC"/>
    <w:rsid w:val="004843EA"/>
    <w:rsid w:val="00484586"/>
    <w:rsid w:val="004846D5"/>
    <w:rsid w:val="0048481C"/>
    <w:rsid w:val="0048486E"/>
    <w:rsid w:val="00485168"/>
    <w:rsid w:val="00485288"/>
    <w:rsid w:val="00485344"/>
    <w:rsid w:val="004853E0"/>
    <w:rsid w:val="0048544E"/>
    <w:rsid w:val="004859D4"/>
    <w:rsid w:val="00485B78"/>
    <w:rsid w:val="00485C3D"/>
    <w:rsid w:val="00485C46"/>
    <w:rsid w:val="00486140"/>
    <w:rsid w:val="00486294"/>
    <w:rsid w:val="00486309"/>
    <w:rsid w:val="00486376"/>
    <w:rsid w:val="004864E8"/>
    <w:rsid w:val="004866D7"/>
    <w:rsid w:val="00486A12"/>
    <w:rsid w:val="00486A4F"/>
    <w:rsid w:val="00486C4C"/>
    <w:rsid w:val="00487074"/>
    <w:rsid w:val="004870AC"/>
    <w:rsid w:val="004871F2"/>
    <w:rsid w:val="004874A7"/>
    <w:rsid w:val="0048775D"/>
    <w:rsid w:val="004879C0"/>
    <w:rsid w:val="00487AEE"/>
    <w:rsid w:val="00487BC4"/>
    <w:rsid w:val="00487DC3"/>
    <w:rsid w:val="00487E43"/>
    <w:rsid w:val="00490138"/>
    <w:rsid w:val="0049075A"/>
    <w:rsid w:val="00490974"/>
    <w:rsid w:val="004909E9"/>
    <w:rsid w:val="00490B25"/>
    <w:rsid w:val="0049111B"/>
    <w:rsid w:val="004914C8"/>
    <w:rsid w:val="004914DB"/>
    <w:rsid w:val="00491B80"/>
    <w:rsid w:val="00491BBF"/>
    <w:rsid w:val="00491CF8"/>
    <w:rsid w:val="00491D10"/>
    <w:rsid w:val="00491D1A"/>
    <w:rsid w:val="004923D0"/>
    <w:rsid w:val="0049254E"/>
    <w:rsid w:val="00492668"/>
    <w:rsid w:val="00492753"/>
    <w:rsid w:val="00492B6F"/>
    <w:rsid w:val="00492C54"/>
    <w:rsid w:val="00493154"/>
    <w:rsid w:val="0049323E"/>
    <w:rsid w:val="0049356C"/>
    <w:rsid w:val="0049368F"/>
    <w:rsid w:val="0049392A"/>
    <w:rsid w:val="00493C7E"/>
    <w:rsid w:val="00493D85"/>
    <w:rsid w:val="00494075"/>
    <w:rsid w:val="00494479"/>
    <w:rsid w:val="00494637"/>
    <w:rsid w:val="004946BD"/>
    <w:rsid w:val="00494911"/>
    <w:rsid w:val="00494B03"/>
    <w:rsid w:val="00494CD3"/>
    <w:rsid w:val="00494D8E"/>
    <w:rsid w:val="00494FB4"/>
    <w:rsid w:val="0049506D"/>
    <w:rsid w:val="00495261"/>
    <w:rsid w:val="004955BD"/>
    <w:rsid w:val="004955BF"/>
    <w:rsid w:val="00495636"/>
    <w:rsid w:val="0049587E"/>
    <w:rsid w:val="00495E70"/>
    <w:rsid w:val="00496361"/>
    <w:rsid w:val="0049695B"/>
    <w:rsid w:val="00496A4F"/>
    <w:rsid w:val="00496B13"/>
    <w:rsid w:val="00496B15"/>
    <w:rsid w:val="00496C1F"/>
    <w:rsid w:val="00496FB8"/>
    <w:rsid w:val="00497495"/>
    <w:rsid w:val="004974D9"/>
    <w:rsid w:val="004975FC"/>
    <w:rsid w:val="00497769"/>
    <w:rsid w:val="004977E3"/>
    <w:rsid w:val="00497B4D"/>
    <w:rsid w:val="00497B63"/>
    <w:rsid w:val="00497E27"/>
    <w:rsid w:val="004A015A"/>
    <w:rsid w:val="004A04D2"/>
    <w:rsid w:val="004A051E"/>
    <w:rsid w:val="004A07B0"/>
    <w:rsid w:val="004A09D1"/>
    <w:rsid w:val="004A0F22"/>
    <w:rsid w:val="004A0F78"/>
    <w:rsid w:val="004A1349"/>
    <w:rsid w:val="004A1483"/>
    <w:rsid w:val="004A1606"/>
    <w:rsid w:val="004A1F7F"/>
    <w:rsid w:val="004A22FF"/>
    <w:rsid w:val="004A2686"/>
    <w:rsid w:val="004A27BC"/>
    <w:rsid w:val="004A28B1"/>
    <w:rsid w:val="004A29A9"/>
    <w:rsid w:val="004A2A0C"/>
    <w:rsid w:val="004A2FC6"/>
    <w:rsid w:val="004A30C6"/>
    <w:rsid w:val="004A313B"/>
    <w:rsid w:val="004A33A0"/>
    <w:rsid w:val="004A33E3"/>
    <w:rsid w:val="004A35FC"/>
    <w:rsid w:val="004A38C7"/>
    <w:rsid w:val="004A3A68"/>
    <w:rsid w:val="004A3ADA"/>
    <w:rsid w:val="004A3AF4"/>
    <w:rsid w:val="004A3C5E"/>
    <w:rsid w:val="004A3EBA"/>
    <w:rsid w:val="004A404A"/>
    <w:rsid w:val="004A407A"/>
    <w:rsid w:val="004A41F9"/>
    <w:rsid w:val="004A48B9"/>
    <w:rsid w:val="004A4A80"/>
    <w:rsid w:val="004A4AA1"/>
    <w:rsid w:val="004A4F40"/>
    <w:rsid w:val="004A53B3"/>
    <w:rsid w:val="004A5843"/>
    <w:rsid w:val="004A5D26"/>
    <w:rsid w:val="004A62EE"/>
    <w:rsid w:val="004A7475"/>
    <w:rsid w:val="004A77C1"/>
    <w:rsid w:val="004A79E2"/>
    <w:rsid w:val="004A7B0E"/>
    <w:rsid w:val="004B0A02"/>
    <w:rsid w:val="004B0C37"/>
    <w:rsid w:val="004B0FFC"/>
    <w:rsid w:val="004B1237"/>
    <w:rsid w:val="004B129D"/>
    <w:rsid w:val="004B195F"/>
    <w:rsid w:val="004B1C48"/>
    <w:rsid w:val="004B2346"/>
    <w:rsid w:val="004B247D"/>
    <w:rsid w:val="004B2598"/>
    <w:rsid w:val="004B2819"/>
    <w:rsid w:val="004B29B6"/>
    <w:rsid w:val="004B29BD"/>
    <w:rsid w:val="004B2CCB"/>
    <w:rsid w:val="004B319B"/>
    <w:rsid w:val="004B3253"/>
    <w:rsid w:val="004B33C3"/>
    <w:rsid w:val="004B37AF"/>
    <w:rsid w:val="004B3806"/>
    <w:rsid w:val="004B3893"/>
    <w:rsid w:val="004B393D"/>
    <w:rsid w:val="004B3D96"/>
    <w:rsid w:val="004B3F84"/>
    <w:rsid w:val="004B44B0"/>
    <w:rsid w:val="004B4A7C"/>
    <w:rsid w:val="004B4C01"/>
    <w:rsid w:val="004B4E4A"/>
    <w:rsid w:val="004B51AA"/>
    <w:rsid w:val="004B5712"/>
    <w:rsid w:val="004B584D"/>
    <w:rsid w:val="004B5B55"/>
    <w:rsid w:val="004B6092"/>
    <w:rsid w:val="004B63AE"/>
    <w:rsid w:val="004B669B"/>
    <w:rsid w:val="004B6761"/>
    <w:rsid w:val="004B6C1E"/>
    <w:rsid w:val="004B6D3A"/>
    <w:rsid w:val="004B6DC4"/>
    <w:rsid w:val="004B6EE2"/>
    <w:rsid w:val="004B6F5F"/>
    <w:rsid w:val="004B6F66"/>
    <w:rsid w:val="004B709D"/>
    <w:rsid w:val="004B7DB9"/>
    <w:rsid w:val="004C01A6"/>
    <w:rsid w:val="004C0D1C"/>
    <w:rsid w:val="004C0D5E"/>
    <w:rsid w:val="004C0D62"/>
    <w:rsid w:val="004C10E6"/>
    <w:rsid w:val="004C1466"/>
    <w:rsid w:val="004C14AB"/>
    <w:rsid w:val="004C162A"/>
    <w:rsid w:val="004C173F"/>
    <w:rsid w:val="004C176B"/>
    <w:rsid w:val="004C1B9E"/>
    <w:rsid w:val="004C2262"/>
    <w:rsid w:val="004C2709"/>
    <w:rsid w:val="004C29A3"/>
    <w:rsid w:val="004C2C2D"/>
    <w:rsid w:val="004C2CA0"/>
    <w:rsid w:val="004C2EA0"/>
    <w:rsid w:val="004C2ECB"/>
    <w:rsid w:val="004C341D"/>
    <w:rsid w:val="004C3A1F"/>
    <w:rsid w:val="004C3A78"/>
    <w:rsid w:val="004C3F76"/>
    <w:rsid w:val="004C4079"/>
    <w:rsid w:val="004C4234"/>
    <w:rsid w:val="004C44BD"/>
    <w:rsid w:val="004C468A"/>
    <w:rsid w:val="004C47B6"/>
    <w:rsid w:val="004C4A15"/>
    <w:rsid w:val="004C4AE9"/>
    <w:rsid w:val="004C4B23"/>
    <w:rsid w:val="004C537C"/>
    <w:rsid w:val="004C5408"/>
    <w:rsid w:val="004C5417"/>
    <w:rsid w:val="004C54A7"/>
    <w:rsid w:val="004C557D"/>
    <w:rsid w:val="004C570D"/>
    <w:rsid w:val="004C5CAD"/>
    <w:rsid w:val="004C5DF9"/>
    <w:rsid w:val="004C5FAD"/>
    <w:rsid w:val="004C5FBA"/>
    <w:rsid w:val="004C6035"/>
    <w:rsid w:val="004C62E6"/>
    <w:rsid w:val="004C63CE"/>
    <w:rsid w:val="004C6AEB"/>
    <w:rsid w:val="004C7042"/>
    <w:rsid w:val="004C73DD"/>
    <w:rsid w:val="004C770E"/>
    <w:rsid w:val="004C78E5"/>
    <w:rsid w:val="004C7B2D"/>
    <w:rsid w:val="004C7B83"/>
    <w:rsid w:val="004C7BFC"/>
    <w:rsid w:val="004C7CE3"/>
    <w:rsid w:val="004D01A7"/>
    <w:rsid w:val="004D09EA"/>
    <w:rsid w:val="004D0BDB"/>
    <w:rsid w:val="004D0C76"/>
    <w:rsid w:val="004D0DB1"/>
    <w:rsid w:val="004D0E0B"/>
    <w:rsid w:val="004D0E9F"/>
    <w:rsid w:val="004D117A"/>
    <w:rsid w:val="004D1295"/>
    <w:rsid w:val="004D12BD"/>
    <w:rsid w:val="004D1366"/>
    <w:rsid w:val="004D13F7"/>
    <w:rsid w:val="004D1542"/>
    <w:rsid w:val="004D156D"/>
    <w:rsid w:val="004D15C9"/>
    <w:rsid w:val="004D1992"/>
    <w:rsid w:val="004D19C5"/>
    <w:rsid w:val="004D1AE9"/>
    <w:rsid w:val="004D1B97"/>
    <w:rsid w:val="004D1BB1"/>
    <w:rsid w:val="004D1E8A"/>
    <w:rsid w:val="004D1F2A"/>
    <w:rsid w:val="004D1F45"/>
    <w:rsid w:val="004D2112"/>
    <w:rsid w:val="004D237E"/>
    <w:rsid w:val="004D23AE"/>
    <w:rsid w:val="004D23E3"/>
    <w:rsid w:val="004D2670"/>
    <w:rsid w:val="004D268E"/>
    <w:rsid w:val="004D2837"/>
    <w:rsid w:val="004D2B6E"/>
    <w:rsid w:val="004D2B78"/>
    <w:rsid w:val="004D2F3B"/>
    <w:rsid w:val="004D3009"/>
    <w:rsid w:val="004D32AF"/>
    <w:rsid w:val="004D32E3"/>
    <w:rsid w:val="004D33D3"/>
    <w:rsid w:val="004D3693"/>
    <w:rsid w:val="004D3842"/>
    <w:rsid w:val="004D3ABD"/>
    <w:rsid w:val="004D3C62"/>
    <w:rsid w:val="004D3EC3"/>
    <w:rsid w:val="004D3FFD"/>
    <w:rsid w:val="004D4292"/>
    <w:rsid w:val="004D4699"/>
    <w:rsid w:val="004D49A7"/>
    <w:rsid w:val="004D4A78"/>
    <w:rsid w:val="004D4F4B"/>
    <w:rsid w:val="004D5097"/>
    <w:rsid w:val="004D50FB"/>
    <w:rsid w:val="004D5357"/>
    <w:rsid w:val="004D5634"/>
    <w:rsid w:val="004D564A"/>
    <w:rsid w:val="004D57A5"/>
    <w:rsid w:val="004D58BE"/>
    <w:rsid w:val="004D5B67"/>
    <w:rsid w:val="004D5CA4"/>
    <w:rsid w:val="004D619A"/>
    <w:rsid w:val="004D668A"/>
    <w:rsid w:val="004D69CE"/>
    <w:rsid w:val="004D6C90"/>
    <w:rsid w:val="004D6D1E"/>
    <w:rsid w:val="004D6FD0"/>
    <w:rsid w:val="004D7551"/>
    <w:rsid w:val="004D7582"/>
    <w:rsid w:val="004D7636"/>
    <w:rsid w:val="004D7780"/>
    <w:rsid w:val="004D7B93"/>
    <w:rsid w:val="004D7B9C"/>
    <w:rsid w:val="004E032B"/>
    <w:rsid w:val="004E05FA"/>
    <w:rsid w:val="004E07BD"/>
    <w:rsid w:val="004E0B74"/>
    <w:rsid w:val="004E17DD"/>
    <w:rsid w:val="004E1800"/>
    <w:rsid w:val="004E1832"/>
    <w:rsid w:val="004E1E1C"/>
    <w:rsid w:val="004E26DD"/>
    <w:rsid w:val="004E2869"/>
    <w:rsid w:val="004E2BEB"/>
    <w:rsid w:val="004E313B"/>
    <w:rsid w:val="004E3231"/>
    <w:rsid w:val="004E3335"/>
    <w:rsid w:val="004E3754"/>
    <w:rsid w:val="004E3758"/>
    <w:rsid w:val="004E3848"/>
    <w:rsid w:val="004E3B62"/>
    <w:rsid w:val="004E3BDD"/>
    <w:rsid w:val="004E3C31"/>
    <w:rsid w:val="004E3CC5"/>
    <w:rsid w:val="004E3F92"/>
    <w:rsid w:val="004E44C1"/>
    <w:rsid w:val="004E4639"/>
    <w:rsid w:val="004E51D9"/>
    <w:rsid w:val="004E54C9"/>
    <w:rsid w:val="004E557D"/>
    <w:rsid w:val="004E5A9C"/>
    <w:rsid w:val="004E5CCF"/>
    <w:rsid w:val="004E5D93"/>
    <w:rsid w:val="004E5E7E"/>
    <w:rsid w:val="004E6102"/>
    <w:rsid w:val="004E6182"/>
    <w:rsid w:val="004E6700"/>
    <w:rsid w:val="004E71AA"/>
    <w:rsid w:val="004E7814"/>
    <w:rsid w:val="004E79B0"/>
    <w:rsid w:val="004E7BDC"/>
    <w:rsid w:val="004F0051"/>
    <w:rsid w:val="004F005E"/>
    <w:rsid w:val="004F0190"/>
    <w:rsid w:val="004F05C5"/>
    <w:rsid w:val="004F0D0F"/>
    <w:rsid w:val="004F0EA6"/>
    <w:rsid w:val="004F130D"/>
    <w:rsid w:val="004F143B"/>
    <w:rsid w:val="004F1D5D"/>
    <w:rsid w:val="004F21A9"/>
    <w:rsid w:val="004F260D"/>
    <w:rsid w:val="004F2667"/>
    <w:rsid w:val="004F27E8"/>
    <w:rsid w:val="004F2837"/>
    <w:rsid w:val="004F28F2"/>
    <w:rsid w:val="004F297C"/>
    <w:rsid w:val="004F2B0F"/>
    <w:rsid w:val="004F2E8C"/>
    <w:rsid w:val="004F32CF"/>
    <w:rsid w:val="004F3604"/>
    <w:rsid w:val="004F363D"/>
    <w:rsid w:val="004F38A2"/>
    <w:rsid w:val="004F3B24"/>
    <w:rsid w:val="004F3B40"/>
    <w:rsid w:val="004F3CB3"/>
    <w:rsid w:val="004F3E68"/>
    <w:rsid w:val="004F3F31"/>
    <w:rsid w:val="004F404C"/>
    <w:rsid w:val="004F42BF"/>
    <w:rsid w:val="004F43C9"/>
    <w:rsid w:val="004F49F4"/>
    <w:rsid w:val="004F4A26"/>
    <w:rsid w:val="004F4A95"/>
    <w:rsid w:val="004F4E6B"/>
    <w:rsid w:val="004F51E7"/>
    <w:rsid w:val="004F547E"/>
    <w:rsid w:val="004F55F5"/>
    <w:rsid w:val="004F56B6"/>
    <w:rsid w:val="004F6181"/>
    <w:rsid w:val="004F6AD0"/>
    <w:rsid w:val="004F6B70"/>
    <w:rsid w:val="004F6C0F"/>
    <w:rsid w:val="004F6CD8"/>
    <w:rsid w:val="004F6E69"/>
    <w:rsid w:val="004F7936"/>
    <w:rsid w:val="004F7B11"/>
    <w:rsid w:val="004F7F99"/>
    <w:rsid w:val="00500012"/>
    <w:rsid w:val="005007EE"/>
    <w:rsid w:val="00500B05"/>
    <w:rsid w:val="00500B0C"/>
    <w:rsid w:val="00500B1F"/>
    <w:rsid w:val="00500C8E"/>
    <w:rsid w:val="00500E57"/>
    <w:rsid w:val="0050118B"/>
    <w:rsid w:val="005013E2"/>
    <w:rsid w:val="005013FB"/>
    <w:rsid w:val="0050166A"/>
    <w:rsid w:val="005017DD"/>
    <w:rsid w:val="0050194C"/>
    <w:rsid w:val="00501ABD"/>
    <w:rsid w:val="00501AC0"/>
    <w:rsid w:val="00502143"/>
    <w:rsid w:val="00502216"/>
    <w:rsid w:val="00502640"/>
    <w:rsid w:val="005028AA"/>
    <w:rsid w:val="00502AC9"/>
    <w:rsid w:val="0050331E"/>
    <w:rsid w:val="0050332D"/>
    <w:rsid w:val="00503A9C"/>
    <w:rsid w:val="00503C45"/>
    <w:rsid w:val="005041E1"/>
    <w:rsid w:val="00504239"/>
    <w:rsid w:val="005048F6"/>
    <w:rsid w:val="005049F4"/>
    <w:rsid w:val="00504C97"/>
    <w:rsid w:val="0050505E"/>
    <w:rsid w:val="005050D9"/>
    <w:rsid w:val="00505384"/>
    <w:rsid w:val="005053FA"/>
    <w:rsid w:val="005056A6"/>
    <w:rsid w:val="00505B11"/>
    <w:rsid w:val="00505D2D"/>
    <w:rsid w:val="00505EAE"/>
    <w:rsid w:val="005066B8"/>
    <w:rsid w:val="0050673A"/>
    <w:rsid w:val="00506C0C"/>
    <w:rsid w:val="00506C9A"/>
    <w:rsid w:val="00506E7B"/>
    <w:rsid w:val="005070A4"/>
    <w:rsid w:val="005070BD"/>
    <w:rsid w:val="005072A3"/>
    <w:rsid w:val="00507497"/>
    <w:rsid w:val="005074A8"/>
    <w:rsid w:val="00507990"/>
    <w:rsid w:val="005079EE"/>
    <w:rsid w:val="00507D61"/>
    <w:rsid w:val="00507F65"/>
    <w:rsid w:val="005100AC"/>
    <w:rsid w:val="00510209"/>
    <w:rsid w:val="005102BE"/>
    <w:rsid w:val="00510565"/>
    <w:rsid w:val="005105C4"/>
    <w:rsid w:val="00510621"/>
    <w:rsid w:val="00510BB6"/>
    <w:rsid w:val="00510DC4"/>
    <w:rsid w:val="00510F32"/>
    <w:rsid w:val="00510F90"/>
    <w:rsid w:val="00510FAC"/>
    <w:rsid w:val="005112FE"/>
    <w:rsid w:val="0051130B"/>
    <w:rsid w:val="00511583"/>
    <w:rsid w:val="0051167D"/>
    <w:rsid w:val="00511978"/>
    <w:rsid w:val="00511D70"/>
    <w:rsid w:val="0051204C"/>
    <w:rsid w:val="0051220B"/>
    <w:rsid w:val="005122CE"/>
    <w:rsid w:val="00512435"/>
    <w:rsid w:val="00512465"/>
    <w:rsid w:val="005135CC"/>
    <w:rsid w:val="00513E14"/>
    <w:rsid w:val="00514224"/>
    <w:rsid w:val="0051444C"/>
    <w:rsid w:val="0051464B"/>
    <w:rsid w:val="00514730"/>
    <w:rsid w:val="005148D7"/>
    <w:rsid w:val="00514915"/>
    <w:rsid w:val="00514BC7"/>
    <w:rsid w:val="00514E7F"/>
    <w:rsid w:val="0051501B"/>
    <w:rsid w:val="00515557"/>
    <w:rsid w:val="0051561E"/>
    <w:rsid w:val="00515836"/>
    <w:rsid w:val="00515BA3"/>
    <w:rsid w:val="00516037"/>
    <w:rsid w:val="00516056"/>
    <w:rsid w:val="0051608B"/>
    <w:rsid w:val="0051624B"/>
    <w:rsid w:val="00516264"/>
    <w:rsid w:val="0051680A"/>
    <w:rsid w:val="00516C7B"/>
    <w:rsid w:val="00516DD6"/>
    <w:rsid w:val="0051709A"/>
    <w:rsid w:val="0051710A"/>
    <w:rsid w:val="00517304"/>
    <w:rsid w:val="00517573"/>
    <w:rsid w:val="005175F9"/>
    <w:rsid w:val="00517654"/>
    <w:rsid w:val="00517C92"/>
    <w:rsid w:val="00517E19"/>
    <w:rsid w:val="00517F3F"/>
    <w:rsid w:val="00520221"/>
    <w:rsid w:val="00520255"/>
    <w:rsid w:val="005207A0"/>
    <w:rsid w:val="005209AA"/>
    <w:rsid w:val="00520D6A"/>
    <w:rsid w:val="00521453"/>
    <w:rsid w:val="005215A0"/>
    <w:rsid w:val="00521BAF"/>
    <w:rsid w:val="00521C49"/>
    <w:rsid w:val="00521E54"/>
    <w:rsid w:val="00521EE5"/>
    <w:rsid w:val="00522040"/>
    <w:rsid w:val="005220AD"/>
    <w:rsid w:val="005222B0"/>
    <w:rsid w:val="00522C96"/>
    <w:rsid w:val="00522E0E"/>
    <w:rsid w:val="00522FA6"/>
    <w:rsid w:val="00523275"/>
    <w:rsid w:val="005235D7"/>
    <w:rsid w:val="00523755"/>
    <w:rsid w:val="005239DB"/>
    <w:rsid w:val="00523C23"/>
    <w:rsid w:val="00523E55"/>
    <w:rsid w:val="005243A7"/>
    <w:rsid w:val="005246A7"/>
    <w:rsid w:val="005246C3"/>
    <w:rsid w:val="00524F76"/>
    <w:rsid w:val="005250D6"/>
    <w:rsid w:val="00525786"/>
    <w:rsid w:val="0052588E"/>
    <w:rsid w:val="005258F4"/>
    <w:rsid w:val="00525CBA"/>
    <w:rsid w:val="0052609C"/>
    <w:rsid w:val="00526317"/>
    <w:rsid w:val="00526632"/>
    <w:rsid w:val="0052670C"/>
    <w:rsid w:val="00526790"/>
    <w:rsid w:val="00526BAD"/>
    <w:rsid w:val="00526C03"/>
    <w:rsid w:val="00526DBA"/>
    <w:rsid w:val="00526E78"/>
    <w:rsid w:val="0052723F"/>
    <w:rsid w:val="00527967"/>
    <w:rsid w:val="00527A01"/>
    <w:rsid w:val="00527AE2"/>
    <w:rsid w:val="00527C2D"/>
    <w:rsid w:val="00530084"/>
    <w:rsid w:val="0053038B"/>
    <w:rsid w:val="005306F3"/>
    <w:rsid w:val="00530811"/>
    <w:rsid w:val="00530956"/>
    <w:rsid w:val="00530A0C"/>
    <w:rsid w:val="00530B52"/>
    <w:rsid w:val="00530E67"/>
    <w:rsid w:val="00530F1E"/>
    <w:rsid w:val="00531229"/>
    <w:rsid w:val="0053186E"/>
    <w:rsid w:val="0053196E"/>
    <w:rsid w:val="00531DA4"/>
    <w:rsid w:val="00532412"/>
    <w:rsid w:val="00532479"/>
    <w:rsid w:val="005327A0"/>
    <w:rsid w:val="00532E46"/>
    <w:rsid w:val="00532FE5"/>
    <w:rsid w:val="005330F4"/>
    <w:rsid w:val="0053316B"/>
    <w:rsid w:val="00533295"/>
    <w:rsid w:val="005333A0"/>
    <w:rsid w:val="0053341A"/>
    <w:rsid w:val="005336B1"/>
    <w:rsid w:val="00533769"/>
    <w:rsid w:val="00533829"/>
    <w:rsid w:val="00533E78"/>
    <w:rsid w:val="00534173"/>
    <w:rsid w:val="0053463A"/>
    <w:rsid w:val="00534663"/>
    <w:rsid w:val="005346D8"/>
    <w:rsid w:val="00534936"/>
    <w:rsid w:val="005349FB"/>
    <w:rsid w:val="00534CE9"/>
    <w:rsid w:val="0053503A"/>
    <w:rsid w:val="005354DF"/>
    <w:rsid w:val="00535600"/>
    <w:rsid w:val="0053586D"/>
    <w:rsid w:val="0053591E"/>
    <w:rsid w:val="0053599C"/>
    <w:rsid w:val="00535B2E"/>
    <w:rsid w:val="00535BAC"/>
    <w:rsid w:val="00535BC7"/>
    <w:rsid w:val="00535F3C"/>
    <w:rsid w:val="00535F6D"/>
    <w:rsid w:val="005360B1"/>
    <w:rsid w:val="005360F7"/>
    <w:rsid w:val="005361BE"/>
    <w:rsid w:val="005361C7"/>
    <w:rsid w:val="0053639C"/>
    <w:rsid w:val="005363D9"/>
    <w:rsid w:val="00536489"/>
    <w:rsid w:val="0053691D"/>
    <w:rsid w:val="00536BED"/>
    <w:rsid w:val="00536C8C"/>
    <w:rsid w:val="00536FDB"/>
    <w:rsid w:val="00537035"/>
    <w:rsid w:val="00537A0D"/>
    <w:rsid w:val="00537B2E"/>
    <w:rsid w:val="00537C38"/>
    <w:rsid w:val="00537C67"/>
    <w:rsid w:val="005409C8"/>
    <w:rsid w:val="00540D4E"/>
    <w:rsid w:val="00540F87"/>
    <w:rsid w:val="00541119"/>
    <w:rsid w:val="00541126"/>
    <w:rsid w:val="005413AA"/>
    <w:rsid w:val="005413BE"/>
    <w:rsid w:val="005413CB"/>
    <w:rsid w:val="00541491"/>
    <w:rsid w:val="00541772"/>
    <w:rsid w:val="00541B28"/>
    <w:rsid w:val="00541EEB"/>
    <w:rsid w:val="00542002"/>
    <w:rsid w:val="00542494"/>
    <w:rsid w:val="0054265C"/>
    <w:rsid w:val="0054267F"/>
    <w:rsid w:val="00542D2E"/>
    <w:rsid w:val="00542FAB"/>
    <w:rsid w:val="00543365"/>
    <w:rsid w:val="00543458"/>
    <w:rsid w:val="005434A6"/>
    <w:rsid w:val="005434C7"/>
    <w:rsid w:val="005435B5"/>
    <w:rsid w:val="005435E0"/>
    <w:rsid w:val="005435EA"/>
    <w:rsid w:val="005436D4"/>
    <w:rsid w:val="00543A91"/>
    <w:rsid w:val="00543D97"/>
    <w:rsid w:val="005443B5"/>
    <w:rsid w:val="00544483"/>
    <w:rsid w:val="005450FC"/>
    <w:rsid w:val="005457B1"/>
    <w:rsid w:val="005458AF"/>
    <w:rsid w:val="00545976"/>
    <w:rsid w:val="005463C6"/>
    <w:rsid w:val="005463E7"/>
    <w:rsid w:val="005464C7"/>
    <w:rsid w:val="005466DE"/>
    <w:rsid w:val="005466E8"/>
    <w:rsid w:val="00546C1F"/>
    <w:rsid w:val="0054700E"/>
    <w:rsid w:val="0054713A"/>
    <w:rsid w:val="005471ED"/>
    <w:rsid w:val="005474FB"/>
    <w:rsid w:val="00547593"/>
    <w:rsid w:val="00547A51"/>
    <w:rsid w:val="005504C2"/>
    <w:rsid w:val="005506C2"/>
    <w:rsid w:val="005508CC"/>
    <w:rsid w:val="005516B1"/>
    <w:rsid w:val="00551A5C"/>
    <w:rsid w:val="00551E3B"/>
    <w:rsid w:val="00551EF4"/>
    <w:rsid w:val="00551F5B"/>
    <w:rsid w:val="00552070"/>
    <w:rsid w:val="005522D5"/>
    <w:rsid w:val="005523DE"/>
    <w:rsid w:val="005524FE"/>
    <w:rsid w:val="005525AC"/>
    <w:rsid w:val="00552768"/>
    <w:rsid w:val="005528DB"/>
    <w:rsid w:val="00552B05"/>
    <w:rsid w:val="00552BFC"/>
    <w:rsid w:val="00553054"/>
    <w:rsid w:val="005530E5"/>
    <w:rsid w:val="0055318C"/>
    <w:rsid w:val="005533B8"/>
    <w:rsid w:val="005534CE"/>
    <w:rsid w:val="0055381C"/>
    <w:rsid w:val="00553936"/>
    <w:rsid w:val="00553D7D"/>
    <w:rsid w:val="005544AE"/>
    <w:rsid w:val="005544C1"/>
    <w:rsid w:val="00554603"/>
    <w:rsid w:val="005547F3"/>
    <w:rsid w:val="00554B8E"/>
    <w:rsid w:val="00554D70"/>
    <w:rsid w:val="00554D86"/>
    <w:rsid w:val="00555075"/>
    <w:rsid w:val="005550DD"/>
    <w:rsid w:val="0055510E"/>
    <w:rsid w:val="005554B6"/>
    <w:rsid w:val="00555696"/>
    <w:rsid w:val="00555AB6"/>
    <w:rsid w:val="00555BF9"/>
    <w:rsid w:val="00555D71"/>
    <w:rsid w:val="00555D98"/>
    <w:rsid w:val="00556A43"/>
    <w:rsid w:val="00556A82"/>
    <w:rsid w:val="00556CC5"/>
    <w:rsid w:val="005571D5"/>
    <w:rsid w:val="00557366"/>
    <w:rsid w:val="00557412"/>
    <w:rsid w:val="0055760B"/>
    <w:rsid w:val="005579C4"/>
    <w:rsid w:val="00557AA6"/>
    <w:rsid w:val="00557D47"/>
    <w:rsid w:val="0056024E"/>
    <w:rsid w:val="0056044F"/>
    <w:rsid w:val="00560595"/>
    <w:rsid w:val="005605D8"/>
    <w:rsid w:val="00560D30"/>
    <w:rsid w:val="00560E34"/>
    <w:rsid w:val="00560E51"/>
    <w:rsid w:val="00560EEB"/>
    <w:rsid w:val="0056170C"/>
    <w:rsid w:val="00561A40"/>
    <w:rsid w:val="00561DFF"/>
    <w:rsid w:val="005625CE"/>
    <w:rsid w:val="005625F6"/>
    <w:rsid w:val="0056299B"/>
    <w:rsid w:val="00563167"/>
    <w:rsid w:val="0056324A"/>
    <w:rsid w:val="005633DC"/>
    <w:rsid w:val="005634FF"/>
    <w:rsid w:val="005635A9"/>
    <w:rsid w:val="005635B7"/>
    <w:rsid w:val="00563810"/>
    <w:rsid w:val="0056382E"/>
    <w:rsid w:val="005638B1"/>
    <w:rsid w:val="005639C4"/>
    <w:rsid w:val="0056455A"/>
    <w:rsid w:val="00564918"/>
    <w:rsid w:val="00564EB7"/>
    <w:rsid w:val="005650C6"/>
    <w:rsid w:val="005654D1"/>
    <w:rsid w:val="00565908"/>
    <w:rsid w:val="0056592E"/>
    <w:rsid w:val="005659D8"/>
    <w:rsid w:val="00565FC1"/>
    <w:rsid w:val="00566330"/>
    <w:rsid w:val="00566762"/>
    <w:rsid w:val="00566804"/>
    <w:rsid w:val="00566CCF"/>
    <w:rsid w:val="00566D28"/>
    <w:rsid w:val="00566DB5"/>
    <w:rsid w:val="00566DC4"/>
    <w:rsid w:val="00566E94"/>
    <w:rsid w:val="00566E96"/>
    <w:rsid w:val="0056721A"/>
    <w:rsid w:val="0056752C"/>
    <w:rsid w:val="00567713"/>
    <w:rsid w:val="0056794B"/>
    <w:rsid w:val="00567A57"/>
    <w:rsid w:val="00567D2B"/>
    <w:rsid w:val="0057038F"/>
    <w:rsid w:val="005705A8"/>
    <w:rsid w:val="00570785"/>
    <w:rsid w:val="00570A53"/>
    <w:rsid w:val="00570BC3"/>
    <w:rsid w:val="00570BCC"/>
    <w:rsid w:val="00571158"/>
    <w:rsid w:val="005719D3"/>
    <w:rsid w:val="00571A96"/>
    <w:rsid w:val="00572592"/>
    <w:rsid w:val="005726F3"/>
    <w:rsid w:val="005728A2"/>
    <w:rsid w:val="00572A00"/>
    <w:rsid w:val="005730CF"/>
    <w:rsid w:val="00573203"/>
    <w:rsid w:val="00573816"/>
    <w:rsid w:val="00573B99"/>
    <w:rsid w:val="00573BB4"/>
    <w:rsid w:val="00573BFB"/>
    <w:rsid w:val="00573CA7"/>
    <w:rsid w:val="00573EF3"/>
    <w:rsid w:val="00574245"/>
    <w:rsid w:val="00574CEE"/>
    <w:rsid w:val="00574EBC"/>
    <w:rsid w:val="0057516E"/>
    <w:rsid w:val="0057545C"/>
    <w:rsid w:val="00575463"/>
    <w:rsid w:val="00575843"/>
    <w:rsid w:val="00575854"/>
    <w:rsid w:val="0057588E"/>
    <w:rsid w:val="00575976"/>
    <w:rsid w:val="00576379"/>
    <w:rsid w:val="00576971"/>
    <w:rsid w:val="00576F0B"/>
    <w:rsid w:val="00576FFB"/>
    <w:rsid w:val="0057716C"/>
    <w:rsid w:val="00577353"/>
    <w:rsid w:val="00577F54"/>
    <w:rsid w:val="00577FDA"/>
    <w:rsid w:val="005784C1"/>
    <w:rsid w:val="005800F4"/>
    <w:rsid w:val="005801F9"/>
    <w:rsid w:val="005808CA"/>
    <w:rsid w:val="0058102E"/>
    <w:rsid w:val="005810EE"/>
    <w:rsid w:val="005811C1"/>
    <w:rsid w:val="0058132D"/>
    <w:rsid w:val="00581B20"/>
    <w:rsid w:val="00582518"/>
    <w:rsid w:val="005826D8"/>
    <w:rsid w:val="005827D5"/>
    <w:rsid w:val="0058287F"/>
    <w:rsid w:val="00582DC0"/>
    <w:rsid w:val="00582E59"/>
    <w:rsid w:val="00582E89"/>
    <w:rsid w:val="00582EA4"/>
    <w:rsid w:val="00582F4C"/>
    <w:rsid w:val="00582FA1"/>
    <w:rsid w:val="005834C1"/>
    <w:rsid w:val="0058353D"/>
    <w:rsid w:val="00583C0E"/>
    <w:rsid w:val="005841FC"/>
    <w:rsid w:val="00584309"/>
    <w:rsid w:val="00584419"/>
    <w:rsid w:val="0058444D"/>
    <w:rsid w:val="0058447B"/>
    <w:rsid w:val="00584725"/>
    <w:rsid w:val="00584CED"/>
    <w:rsid w:val="00585167"/>
    <w:rsid w:val="00585393"/>
    <w:rsid w:val="00585CFB"/>
    <w:rsid w:val="00585DF7"/>
    <w:rsid w:val="00585FF2"/>
    <w:rsid w:val="00586188"/>
    <w:rsid w:val="005865CD"/>
    <w:rsid w:val="00586E4F"/>
    <w:rsid w:val="00587645"/>
    <w:rsid w:val="00587770"/>
    <w:rsid w:val="005879D4"/>
    <w:rsid w:val="0059027F"/>
    <w:rsid w:val="00590A75"/>
    <w:rsid w:val="00590BD4"/>
    <w:rsid w:val="00590C8D"/>
    <w:rsid w:val="00590CFF"/>
    <w:rsid w:val="00590E67"/>
    <w:rsid w:val="00591091"/>
    <w:rsid w:val="0059126C"/>
    <w:rsid w:val="005915C0"/>
    <w:rsid w:val="005916E5"/>
    <w:rsid w:val="00591D80"/>
    <w:rsid w:val="00591F99"/>
    <w:rsid w:val="0059230A"/>
    <w:rsid w:val="005924AA"/>
    <w:rsid w:val="0059292A"/>
    <w:rsid w:val="00592DD1"/>
    <w:rsid w:val="00593095"/>
    <w:rsid w:val="005930D6"/>
    <w:rsid w:val="005930D8"/>
    <w:rsid w:val="00593308"/>
    <w:rsid w:val="00593BEB"/>
    <w:rsid w:val="00593BF6"/>
    <w:rsid w:val="00593C4B"/>
    <w:rsid w:val="00593E50"/>
    <w:rsid w:val="00593F0B"/>
    <w:rsid w:val="00593F5A"/>
    <w:rsid w:val="005944E9"/>
    <w:rsid w:val="005946C2"/>
    <w:rsid w:val="005949A4"/>
    <w:rsid w:val="005949F6"/>
    <w:rsid w:val="00594D24"/>
    <w:rsid w:val="00595121"/>
    <w:rsid w:val="00595AC8"/>
    <w:rsid w:val="00595DCC"/>
    <w:rsid w:val="00595F7C"/>
    <w:rsid w:val="00596584"/>
    <w:rsid w:val="005968A2"/>
    <w:rsid w:val="00596AFB"/>
    <w:rsid w:val="00596C63"/>
    <w:rsid w:val="0059739F"/>
    <w:rsid w:val="00597D5B"/>
    <w:rsid w:val="005A01FF"/>
    <w:rsid w:val="005A0393"/>
    <w:rsid w:val="005A0D07"/>
    <w:rsid w:val="005A0E61"/>
    <w:rsid w:val="005A0F3A"/>
    <w:rsid w:val="005A0F6D"/>
    <w:rsid w:val="005A1210"/>
    <w:rsid w:val="005A158D"/>
    <w:rsid w:val="005A1D23"/>
    <w:rsid w:val="005A2264"/>
    <w:rsid w:val="005A2410"/>
    <w:rsid w:val="005A2641"/>
    <w:rsid w:val="005A27AC"/>
    <w:rsid w:val="005A2CE4"/>
    <w:rsid w:val="005A32BE"/>
    <w:rsid w:val="005A33A0"/>
    <w:rsid w:val="005A369B"/>
    <w:rsid w:val="005A3788"/>
    <w:rsid w:val="005A37B7"/>
    <w:rsid w:val="005A37F0"/>
    <w:rsid w:val="005A39A9"/>
    <w:rsid w:val="005A3BD2"/>
    <w:rsid w:val="005A3C31"/>
    <w:rsid w:val="005A3D2A"/>
    <w:rsid w:val="005A434C"/>
    <w:rsid w:val="005A440B"/>
    <w:rsid w:val="005A451E"/>
    <w:rsid w:val="005A4BC3"/>
    <w:rsid w:val="005A4C34"/>
    <w:rsid w:val="005A4E26"/>
    <w:rsid w:val="005A4E69"/>
    <w:rsid w:val="005A4F27"/>
    <w:rsid w:val="005A524B"/>
    <w:rsid w:val="005A53C8"/>
    <w:rsid w:val="005A55BF"/>
    <w:rsid w:val="005A5826"/>
    <w:rsid w:val="005A5C4F"/>
    <w:rsid w:val="005A5D16"/>
    <w:rsid w:val="005A6167"/>
    <w:rsid w:val="005A630B"/>
    <w:rsid w:val="005A66CE"/>
    <w:rsid w:val="005A6717"/>
    <w:rsid w:val="005A67F5"/>
    <w:rsid w:val="005A682F"/>
    <w:rsid w:val="005A6913"/>
    <w:rsid w:val="005A6A3B"/>
    <w:rsid w:val="005A6D92"/>
    <w:rsid w:val="005A6F11"/>
    <w:rsid w:val="005A70F7"/>
    <w:rsid w:val="005A7168"/>
    <w:rsid w:val="005A734C"/>
    <w:rsid w:val="005A766A"/>
    <w:rsid w:val="005A79B3"/>
    <w:rsid w:val="005A7C0A"/>
    <w:rsid w:val="005A7FF3"/>
    <w:rsid w:val="005B04CD"/>
    <w:rsid w:val="005B0B75"/>
    <w:rsid w:val="005B1143"/>
    <w:rsid w:val="005B145E"/>
    <w:rsid w:val="005B14BB"/>
    <w:rsid w:val="005B1DA6"/>
    <w:rsid w:val="005B1EF5"/>
    <w:rsid w:val="005B251D"/>
    <w:rsid w:val="005B267C"/>
    <w:rsid w:val="005B2BC0"/>
    <w:rsid w:val="005B2F82"/>
    <w:rsid w:val="005B302A"/>
    <w:rsid w:val="005B36AA"/>
    <w:rsid w:val="005B3B52"/>
    <w:rsid w:val="005B3B65"/>
    <w:rsid w:val="005B42DC"/>
    <w:rsid w:val="005B42E0"/>
    <w:rsid w:val="005B45B6"/>
    <w:rsid w:val="005B4FC5"/>
    <w:rsid w:val="005B5C6B"/>
    <w:rsid w:val="005B6431"/>
    <w:rsid w:val="005B6A49"/>
    <w:rsid w:val="005B7290"/>
    <w:rsid w:val="005B738E"/>
    <w:rsid w:val="005B7B90"/>
    <w:rsid w:val="005B7C47"/>
    <w:rsid w:val="005B7D77"/>
    <w:rsid w:val="005B7E0F"/>
    <w:rsid w:val="005C02FD"/>
    <w:rsid w:val="005C048F"/>
    <w:rsid w:val="005C0662"/>
    <w:rsid w:val="005C126A"/>
    <w:rsid w:val="005C136F"/>
    <w:rsid w:val="005C147F"/>
    <w:rsid w:val="005C1711"/>
    <w:rsid w:val="005C17F7"/>
    <w:rsid w:val="005C1956"/>
    <w:rsid w:val="005C1D34"/>
    <w:rsid w:val="005C1F43"/>
    <w:rsid w:val="005C2097"/>
    <w:rsid w:val="005C225B"/>
    <w:rsid w:val="005C24A6"/>
    <w:rsid w:val="005C2793"/>
    <w:rsid w:val="005C2954"/>
    <w:rsid w:val="005C2C69"/>
    <w:rsid w:val="005C2F37"/>
    <w:rsid w:val="005C2F41"/>
    <w:rsid w:val="005C2FF9"/>
    <w:rsid w:val="005C3336"/>
    <w:rsid w:val="005C3873"/>
    <w:rsid w:val="005C3D0D"/>
    <w:rsid w:val="005C41D1"/>
    <w:rsid w:val="005C4519"/>
    <w:rsid w:val="005C46B0"/>
    <w:rsid w:val="005C48EE"/>
    <w:rsid w:val="005C4F00"/>
    <w:rsid w:val="005C594A"/>
    <w:rsid w:val="005C5B3E"/>
    <w:rsid w:val="005C5B72"/>
    <w:rsid w:val="005C5CC0"/>
    <w:rsid w:val="005C5FF1"/>
    <w:rsid w:val="005C6375"/>
    <w:rsid w:val="005C64C0"/>
    <w:rsid w:val="005C676D"/>
    <w:rsid w:val="005C6829"/>
    <w:rsid w:val="005C6BF6"/>
    <w:rsid w:val="005C7514"/>
    <w:rsid w:val="005C7BF0"/>
    <w:rsid w:val="005D0103"/>
    <w:rsid w:val="005D0268"/>
    <w:rsid w:val="005D0340"/>
    <w:rsid w:val="005D042B"/>
    <w:rsid w:val="005D0A4F"/>
    <w:rsid w:val="005D0C8A"/>
    <w:rsid w:val="005D0D72"/>
    <w:rsid w:val="005D0F05"/>
    <w:rsid w:val="005D17D6"/>
    <w:rsid w:val="005D1B30"/>
    <w:rsid w:val="005D1B6A"/>
    <w:rsid w:val="005D24D3"/>
    <w:rsid w:val="005D2681"/>
    <w:rsid w:val="005D2AA8"/>
    <w:rsid w:val="005D2BA9"/>
    <w:rsid w:val="005D319C"/>
    <w:rsid w:val="005D323D"/>
    <w:rsid w:val="005D3455"/>
    <w:rsid w:val="005D3502"/>
    <w:rsid w:val="005D3765"/>
    <w:rsid w:val="005D38C5"/>
    <w:rsid w:val="005D401A"/>
    <w:rsid w:val="005D44FB"/>
    <w:rsid w:val="005D4822"/>
    <w:rsid w:val="005D4AE0"/>
    <w:rsid w:val="005D4C4A"/>
    <w:rsid w:val="005D528A"/>
    <w:rsid w:val="005D582E"/>
    <w:rsid w:val="005D58D3"/>
    <w:rsid w:val="005D5AC1"/>
    <w:rsid w:val="005D5CFD"/>
    <w:rsid w:val="005D5EC7"/>
    <w:rsid w:val="005D5F14"/>
    <w:rsid w:val="005D5F74"/>
    <w:rsid w:val="005D6079"/>
    <w:rsid w:val="005D6264"/>
    <w:rsid w:val="005D626A"/>
    <w:rsid w:val="005D63FF"/>
    <w:rsid w:val="005D6646"/>
    <w:rsid w:val="005D672D"/>
    <w:rsid w:val="005D6765"/>
    <w:rsid w:val="005D6B33"/>
    <w:rsid w:val="005D724D"/>
    <w:rsid w:val="005D72EE"/>
    <w:rsid w:val="005D77B3"/>
    <w:rsid w:val="005D7B26"/>
    <w:rsid w:val="005D7C92"/>
    <w:rsid w:val="005E013E"/>
    <w:rsid w:val="005E05C7"/>
    <w:rsid w:val="005E0721"/>
    <w:rsid w:val="005E0820"/>
    <w:rsid w:val="005E11F8"/>
    <w:rsid w:val="005E12A0"/>
    <w:rsid w:val="005E1363"/>
    <w:rsid w:val="005E155E"/>
    <w:rsid w:val="005E15CA"/>
    <w:rsid w:val="005E1E1E"/>
    <w:rsid w:val="005E1FEB"/>
    <w:rsid w:val="005E2282"/>
    <w:rsid w:val="005E24EE"/>
    <w:rsid w:val="005E2843"/>
    <w:rsid w:val="005E3119"/>
    <w:rsid w:val="005E3516"/>
    <w:rsid w:val="005E36A8"/>
    <w:rsid w:val="005E391C"/>
    <w:rsid w:val="005E39D0"/>
    <w:rsid w:val="005E3AD0"/>
    <w:rsid w:val="005E3BDD"/>
    <w:rsid w:val="005E3C49"/>
    <w:rsid w:val="005E4279"/>
    <w:rsid w:val="005E447B"/>
    <w:rsid w:val="005E4545"/>
    <w:rsid w:val="005E46DE"/>
    <w:rsid w:val="005E49CA"/>
    <w:rsid w:val="005E4D78"/>
    <w:rsid w:val="005E5820"/>
    <w:rsid w:val="005E5AAB"/>
    <w:rsid w:val="005E5CA2"/>
    <w:rsid w:val="005E5D45"/>
    <w:rsid w:val="005E5DE2"/>
    <w:rsid w:val="005E61F4"/>
    <w:rsid w:val="005E6308"/>
    <w:rsid w:val="005E6A12"/>
    <w:rsid w:val="005E6A23"/>
    <w:rsid w:val="005E6A49"/>
    <w:rsid w:val="005E6B48"/>
    <w:rsid w:val="005E7491"/>
    <w:rsid w:val="005E75C7"/>
    <w:rsid w:val="005E7A5C"/>
    <w:rsid w:val="005E7C4D"/>
    <w:rsid w:val="005F058C"/>
    <w:rsid w:val="005F0A2B"/>
    <w:rsid w:val="005F0B20"/>
    <w:rsid w:val="005F0C93"/>
    <w:rsid w:val="005F0F24"/>
    <w:rsid w:val="005F119E"/>
    <w:rsid w:val="005F1B2E"/>
    <w:rsid w:val="005F1C75"/>
    <w:rsid w:val="005F1F3F"/>
    <w:rsid w:val="005F270C"/>
    <w:rsid w:val="005F2CD4"/>
    <w:rsid w:val="005F3162"/>
    <w:rsid w:val="005F31F3"/>
    <w:rsid w:val="005F334C"/>
    <w:rsid w:val="005F33ED"/>
    <w:rsid w:val="005F3704"/>
    <w:rsid w:val="005F384F"/>
    <w:rsid w:val="005F38C4"/>
    <w:rsid w:val="005F3C78"/>
    <w:rsid w:val="005F3D38"/>
    <w:rsid w:val="005F49F2"/>
    <w:rsid w:val="005F4ABC"/>
    <w:rsid w:val="005F4F84"/>
    <w:rsid w:val="005F54EB"/>
    <w:rsid w:val="005F5956"/>
    <w:rsid w:val="005F59B7"/>
    <w:rsid w:val="005F6108"/>
    <w:rsid w:val="005F617C"/>
    <w:rsid w:val="005F62DA"/>
    <w:rsid w:val="005F6473"/>
    <w:rsid w:val="005F696D"/>
    <w:rsid w:val="005F6A84"/>
    <w:rsid w:val="005F6CA2"/>
    <w:rsid w:val="005F72A3"/>
    <w:rsid w:val="005F732D"/>
    <w:rsid w:val="005F73A4"/>
    <w:rsid w:val="005F7686"/>
    <w:rsid w:val="005F7877"/>
    <w:rsid w:val="005F797B"/>
    <w:rsid w:val="005F7997"/>
    <w:rsid w:val="005F7AE8"/>
    <w:rsid w:val="005F7B11"/>
    <w:rsid w:val="00600405"/>
    <w:rsid w:val="00600AEF"/>
    <w:rsid w:val="0060126E"/>
    <w:rsid w:val="0060192B"/>
    <w:rsid w:val="0060194B"/>
    <w:rsid w:val="00601A15"/>
    <w:rsid w:val="00601AC3"/>
    <w:rsid w:val="00602C4F"/>
    <w:rsid w:val="00602CE9"/>
    <w:rsid w:val="00602D8D"/>
    <w:rsid w:val="00602F48"/>
    <w:rsid w:val="006030F5"/>
    <w:rsid w:val="00603729"/>
    <w:rsid w:val="00603B34"/>
    <w:rsid w:val="00603C67"/>
    <w:rsid w:val="00603CA3"/>
    <w:rsid w:val="00603E85"/>
    <w:rsid w:val="00603FB5"/>
    <w:rsid w:val="0060435F"/>
    <w:rsid w:val="00604559"/>
    <w:rsid w:val="00604870"/>
    <w:rsid w:val="00604DAC"/>
    <w:rsid w:val="00605046"/>
    <w:rsid w:val="006050A1"/>
    <w:rsid w:val="006056BF"/>
    <w:rsid w:val="00605CE1"/>
    <w:rsid w:val="00605E9D"/>
    <w:rsid w:val="0060604C"/>
    <w:rsid w:val="00606676"/>
    <w:rsid w:val="00606DE1"/>
    <w:rsid w:val="0060706C"/>
    <w:rsid w:val="00607252"/>
    <w:rsid w:val="0060732F"/>
    <w:rsid w:val="006073FD"/>
    <w:rsid w:val="006075C3"/>
    <w:rsid w:val="0060794A"/>
    <w:rsid w:val="00607DD3"/>
    <w:rsid w:val="00610262"/>
    <w:rsid w:val="006102A3"/>
    <w:rsid w:val="0061034F"/>
    <w:rsid w:val="00610465"/>
    <w:rsid w:val="0061077D"/>
    <w:rsid w:val="0061089A"/>
    <w:rsid w:val="00610E0A"/>
    <w:rsid w:val="00610F4C"/>
    <w:rsid w:val="00610FD2"/>
    <w:rsid w:val="00611263"/>
    <w:rsid w:val="006116D1"/>
    <w:rsid w:val="00611813"/>
    <w:rsid w:val="00611D6F"/>
    <w:rsid w:val="0061234F"/>
    <w:rsid w:val="00612734"/>
    <w:rsid w:val="00612A0F"/>
    <w:rsid w:val="00612B1B"/>
    <w:rsid w:val="00612CA9"/>
    <w:rsid w:val="00612CE7"/>
    <w:rsid w:val="00612E94"/>
    <w:rsid w:val="0061309B"/>
    <w:rsid w:val="00613616"/>
    <w:rsid w:val="006138EC"/>
    <w:rsid w:val="006139B8"/>
    <w:rsid w:val="006139E4"/>
    <w:rsid w:val="00613DA2"/>
    <w:rsid w:val="0061439D"/>
    <w:rsid w:val="006148BC"/>
    <w:rsid w:val="00614C68"/>
    <w:rsid w:val="00614F47"/>
    <w:rsid w:val="00615192"/>
    <w:rsid w:val="00615739"/>
    <w:rsid w:val="00615873"/>
    <w:rsid w:val="00615E6C"/>
    <w:rsid w:val="0061649B"/>
    <w:rsid w:val="00616772"/>
    <w:rsid w:val="00616A26"/>
    <w:rsid w:val="00616B35"/>
    <w:rsid w:val="00616F3E"/>
    <w:rsid w:val="0061730A"/>
    <w:rsid w:val="0061744C"/>
    <w:rsid w:val="00617889"/>
    <w:rsid w:val="00617BD5"/>
    <w:rsid w:val="00617DA4"/>
    <w:rsid w:val="0062046D"/>
    <w:rsid w:val="006204DD"/>
    <w:rsid w:val="006206C8"/>
    <w:rsid w:val="006208D3"/>
    <w:rsid w:val="00620951"/>
    <w:rsid w:val="00620B38"/>
    <w:rsid w:val="00621105"/>
    <w:rsid w:val="00621328"/>
    <w:rsid w:val="0062159B"/>
    <w:rsid w:val="0062172B"/>
    <w:rsid w:val="00621944"/>
    <w:rsid w:val="00621A87"/>
    <w:rsid w:val="00621D2F"/>
    <w:rsid w:val="00621E0D"/>
    <w:rsid w:val="00621EE5"/>
    <w:rsid w:val="0062233D"/>
    <w:rsid w:val="0062236D"/>
    <w:rsid w:val="00622777"/>
    <w:rsid w:val="00622B76"/>
    <w:rsid w:val="00623006"/>
    <w:rsid w:val="00623365"/>
    <w:rsid w:val="0062357B"/>
    <w:rsid w:val="0062389F"/>
    <w:rsid w:val="00624019"/>
    <w:rsid w:val="006242B5"/>
    <w:rsid w:val="00624A99"/>
    <w:rsid w:val="006251A3"/>
    <w:rsid w:val="006259CC"/>
    <w:rsid w:val="00625BA7"/>
    <w:rsid w:val="00625C6F"/>
    <w:rsid w:val="00625D7B"/>
    <w:rsid w:val="00625FF6"/>
    <w:rsid w:val="006263AB"/>
    <w:rsid w:val="006267E2"/>
    <w:rsid w:val="00626D13"/>
    <w:rsid w:val="00626F6C"/>
    <w:rsid w:val="006271C8"/>
    <w:rsid w:val="006271E4"/>
    <w:rsid w:val="00627234"/>
    <w:rsid w:val="006273FA"/>
    <w:rsid w:val="00627CFC"/>
    <w:rsid w:val="00630022"/>
    <w:rsid w:val="00630338"/>
    <w:rsid w:val="00630ABC"/>
    <w:rsid w:val="00630CAD"/>
    <w:rsid w:val="0063104C"/>
    <w:rsid w:val="006311BF"/>
    <w:rsid w:val="00631BD9"/>
    <w:rsid w:val="00631FBF"/>
    <w:rsid w:val="00632113"/>
    <w:rsid w:val="00632791"/>
    <w:rsid w:val="00632AF4"/>
    <w:rsid w:val="00632C68"/>
    <w:rsid w:val="00632EF3"/>
    <w:rsid w:val="00632EFC"/>
    <w:rsid w:val="0063326E"/>
    <w:rsid w:val="00633475"/>
    <w:rsid w:val="00633D88"/>
    <w:rsid w:val="006340D6"/>
    <w:rsid w:val="006342A4"/>
    <w:rsid w:val="00634345"/>
    <w:rsid w:val="006345AE"/>
    <w:rsid w:val="00634D52"/>
    <w:rsid w:val="00634E4B"/>
    <w:rsid w:val="00635201"/>
    <w:rsid w:val="00635485"/>
    <w:rsid w:val="00635778"/>
    <w:rsid w:val="006358D7"/>
    <w:rsid w:val="006358EE"/>
    <w:rsid w:val="0063644F"/>
    <w:rsid w:val="00636679"/>
    <w:rsid w:val="0063667C"/>
    <w:rsid w:val="006366E1"/>
    <w:rsid w:val="0063676C"/>
    <w:rsid w:val="0063678A"/>
    <w:rsid w:val="0063690F"/>
    <w:rsid w:val="0063694E"/>
    <w:rsid w:val="006369EF"/>
    <w:rsid w:val="00636BBB"/>
    <w:rsid w:val="00636F83"/>
    <w:rsid w:val="00636F85"/>
    <w:rsid w:val="006371D9"/>
    <w:rsid w:val="006371EF"/>
    <w:rsid w:val="00637293"/>
    <w:rsid w:val="0063760A"/>
    <w:rsid w:val="00637764"/>
    <w:rsid w:val="00640081"/>
    <w:rsid w:val="00640522"/>
    <w:rsid w:val="006406D8"/>
    <w:rsid w:val="0064098F"/>
    <w:rsid w:val="00640D61"/>
    <w:rsid w:val="00641220"/>
    <w:rsid w:val="006414F4"/>
    <w:rsid w:val="00641620"/>
    <w:rsid w:val="006416B7"/>
    <w:rsid w:val="00642845"/>
    <w:rsid w:val="00642A20"/>
    <w:rsid w:val="00642C4F"/>
    <w:rsid w:val="00642C61"/>
    <w:rsid w:val="006430C2"/>
    <w:rsid w:val="006431F9"/>
    <w:rsid w:val="006438AC"/>
    <w:rsid w:val="00643BB5"/>
    <w:rsid w:val="00643D84"/>
    <w:rsid w:val="00643E0D"/>
    <w:rsid w:val="00643F73"/>
    <w:rsid w:val="00644036"/>
    <w:rsid w:val="0064464C"/>
    <w:rsid w:val="0064489A"/>
    <w:rsid w:val="00644CEB"/>
    <w:rsid w:val="00644D19"/>
    <w:rsid w:val="00644F8D"/>
    <w:rsid w:val="006450FB"/>
    <w:rsid w:val="00645230"/>
    <w:rsid w:val="00645AC2"/>
    <w:rsid w:val="00645E05"/>
    <w:rsid w:val="0064605F"/>
    <w:rsid w:val="006460B9"/>
    <w:rsid w:val="006460FB"/>
    <w:rsid w:val="006463E7"/>
    <w:rsid w:val="00646492"/>
    <w:rsid w:val="00646554"/>
    <w:rsid w:val="00646757"/>
    <w:rsid w:val="00646A30"/>
    <w:rsid w:val="00646C8C"/>
    <w:rsid w:val="00646D30"/>
    <w:rsid w:val="00647278"/>
    <w:rsid w:val="006473C3"/>
    <w:rsid w:val="00647707"/>
    <w:rsid w:val="00647EA7"/>
    <w:rsid w:val="0065050B"/>
    <w:rsid w:val="006508F3"/>
    <w:rsid w:val="006509AE"/>
    <w:rsid w:val="006509B3"/>
    <w:rsid w:val="00650CDC"/>
    <w:rsid w:val="00650F99"/>
    <w:rsid w:val="006515A4"/>
    <w:rsid w:val="0065196D"/>
    <w:rsid w:val="00651C40"/>
    <w:rsid w:val="00651E88"/>
    <w:rsid w:val="00652483"/>
    <w:rsid w:val="0065251D"/>
    <w:rsid w:val="00652658"/>
    <w:rsid w:val="006526AE"/>
    <w:rsid w:val="006526E8"/>
    <w:rsid w:val="0065299C"/>
    <w:rsid w:val="00652C78"/>
    <w:rsid w:val="00653064"/>
    <w:rsid w:val="006534D7"/>
    <w:rsid w:val="00653FF6"/>
    <w:rsid w:val="006545B9"/>
    <w:rsid w:val="00654710"/>
    <w:rsid w:val="006548E8"/>
    <w:rsid w:val="00655415"/>
    <w:rsid w:val="0065569B"/>
    <w:rsid w:val="00655AFD"/>
    <w:rsid w:val="00655BB0"/>
    <w:rsid w:val="00655C03"/>
    <w:rsid w:val="00656088"/>
    <w:rsid w:val="00656620"/>
    <w:rsid w:val="00656681"/>
    <w:rsid w:val="006569A2"/>
    <w:rsid w:val="00656B53"/>
    <w:rsid w:val="00656C8A"/>
    <w:rsid w:val="00656F71"/>
    <w:rsid w:val="00656FA3"/>
    <w:rsid w:val="006572BC"/>
    <w:rsid w:val="006577AF"/>
    <w:rsid w:val="0065796C"/>
    <w:rsid w:val="006579FC"/>
    <w:rsid w:val="006600B3"/>
    <w:rsid w:val="0066042C"/>
    <w:rsid w:val="006606AD"/>
    <w:rsid w:val="0066078B"/>
    <w:rsid w:val="00660EBF"/>
    <w:rsid w:val="00661047"/>
    <w:rsid w:val="00661231"/>
    <w:rsid w:val="0066173A"/>
    <w:rsid w:val="006618BB"/>
    <w:rsid w:val="006618FA"/>
    <w:rsid w:val="006619CA"/>
    <w:rsid w:val="00661AC3"/>
    <w:rsid w:val="00661AE2"/>
    <w:rsid w:val="00661C58"/>
    <w:rsid w:val="00661C71"/>
    <w:rsid w:val="00661D34"/>
    <w:rsid w:val="00661EE5"/>
    <w:rsid w:val="006620EE"/>
    <w:rsid w:val="006626F9"/>
    <w:rsid w:val="00662880"/>
    <w:rsid w:val="006628CC"/>
    <w:rsid w:val="006628F9"/>
    <w:rsid w:val="006629A7"/>
    <w:rsid w:val="00662A51"/>
    <w:rsid w:val="006638D6"/>
    <w:rsid w:val="00663EDE"/>
    <w:rsid w:val="00664522"/>
    <w:rsid w:val="00664549"/>
    <w:rsid w:val="006649BC"/>
    <w:rsid w:val="006649DE"/>
    <w:rsid w:val="00664A70"/>
    <w:rsid w:val="00664B3C"/>
    <w:rsid w:val="00665131"/>
    <w:rsid w:val="00665391"/>
    <w:rsid w:val="00665440"/>
    <w:rsid w:val="0066562F"/>
    <w:rsid w:val="00666294"/>
    <w:rsid w:val="006668B5"/>
    <w:rsid w:val="00666B49"/>
    <w:rsid w:val="00666CD2"/>
    <w:rsid w:val="00666F47"/>
    <w:rsid w:val="006673BF"/>
    <w:rsid w:val="006674EA"/>
    <w:rsid w:val="00667595"/>
    <w:rsid w:val="006678A7"/>
    <w:rsid w:val="006678CD"/>
    <w:rsid w:val="00667A91"/>
    <w:rsid w:val="00667D7F"/>
    <w:rsid w:val="0067002D"/>
    <w:rsid w:val="00670187"/>
    <w:rsid w:val="0067024A"/>
    <w:rsid w:val="006709CE"/>
    <w:rsid w:val="00671292"/>
    <w:rsid w:val="0067143D"/>
    <w:rsid w:val="00671494"/>
    <w:rsid w:val="00671659"/>
    <w:rsid w:val="00672231"/>
    <w:rsid w:val="00672387"/>
    <w:rsid w:val="00672421"/>
    <w:rsid w:val="00672708"/>
    <w:rsid w:val="006729B2"/>
    <w:rsid w:val="00672A9E"/>
    <w:rsid w:val="00672B9D"/>
    <w:rsid w:val="00672CC8"/>
    <w:rsid w:val="00672DF8"/>
    <w:rsid w:val="00673158"/>
    <w:rsid w:val="006733BC"/>
    <w:rsid w:val="006733FC"/>
    <w:rsid w:val="00673AD1"/>
    <w:rsid w:val="00674442"/>
    <w:rsid w:val="006746BA"/>
    <w:rsid w:val="00674935"/>
    <w:rsid w:val="00674C26"/>
    <w:rsid w:val="00674FDE"/>
    <w:rsid w:val="00675139"/>
    <w:rsid w:val="0067530D"/>
    <w:rsid w:val="006753A2"/>
    <w:rsid w:val="006755A9"/>
    <w:rsid w:val="006764A6"/>
    <w:rsid w:val="00676760"/>
    <w:rsid w:val="00676938"/>
    <w:rsid w:val="00676B7F"/>
    <w:rsid w:val="00676F87"/>
    <w:rsid w:val="0067700E"/>
    <w:rsid w:val="0067712E"/>
    <w:rsid w:val="00677334"/>
    <w:rsid w:val="00680557"/>
    <w:rsid w:val="006805F0"/>
    <w:rsid w:val="00680613"/>
    <w:rsid w:val="0068075E"/>
    <w:rsid w:val="006808FF"/>
    <w:rsid w:val="00680EF2"/>
    <w:rsid w:val="0068126D"/>
    <w:rsid w:val="00681357"/>
    <w:rsid w:val="006814E6"/>
    <w:rsid w:val="00681847"/>
    <w:rsid w:val="00681C52"/>
    <w:rsid w:val="00681E68"/>
    <w:rsid w:val="0068201D"/>
    <w:rsid w:val="0068239C"/>
    <w:rsid w:val="00682AC8"/>
    <w:rsid w:val="00682CB9"/>
    <w:rsid w:val="00682CD3"/>
    <w:rsid w:val="00682F75"/>
    <w:rsid w:val="0068317C"/>
    <w:rsid w:val="0068350D"/>
    <w:rsid w:val="0068364B"/>
    <w:rsid w:val="00683A38"/>
    <w:rsid w:val="00683E88"/>
    <w:rsid w:val="00683EA5"/>
    <w:rsid w:val="00683EE5"/>
    <w:rsid w:val="006842E1"/>
    <w:rsid w:val="006844E8"/>
    <w:rsid w:val="006845B8"/>
    <w:rsid w:val="006848DD"/>
    <w:rsid w:val="00684A34"/>
    <w:rsid w:val="00684BB5"/>
    <w:rsid w:val="00684CF7"/>
    <w:rsid w:val="00684D14"/>
    <w:rsid w:val="00684FFC"/>
    <w:rsid w:val="0068520D"/>
    <w:rsid w:val="006858EE"/>
    <w:rsid w:val="00685996"/>
    <w:rsid w:val="00685E47"/>
    <w:rsid w:val="00685F5D"/>
    <w:rsid w:val="006860C7"/>
    <w:rsid w:val="006865FA"/>
    <w:rsid w:val="006868C5"/>
    <w:rsid w:val="00686E4B"/>
    <w:rsid w:val="00687CC8"/>
    <w:rsid w:val="00687DC1"/>
    <w:rsid w:val="00687ECD"/>
    <w:rsid w:val="00690007"/>
    <w:rsid w:val="006901F1"/>
    <w:rsid w:val="00690D7C"/>
    <w:rsid w:val="00690DF6"/>
    <w:rsid w:val="00690E64"/>
    <w:rsid w:val="0069120D"/>
    <w:rsid w:val="00691242"/>
    <w:rsid w:val="0069126A"/>
    <w:rsid w:val="006912B0"/>
    <w:rsid w:val="006912BA"/>
    <w:rsid w:val="0069144A"/>
    <w:rsid w:val="0069147D"/>
    <w:rsid w:val="00691534"/>
    <w:rsid w:val="006921F4"/>
    <w:rsid w:val="00692223"/>
    <w:rsid w:val="00692346"/>
    <w:rsid w:val="006923E1"/>
    <w:rsid w:val="006924E1"/>
    <w:rsid w:val="006926F9"/>
    <w:rsid w:val="00692823"/>
    <w:rsid w:val="00692A27"/>
    <w:rsid w:val="00692DBC"/>
    <w:rsid w:val="00692E7C"/>
    <w:rsid w:val="00693026"/>
    <w:rsid w:val="00693371"/>
    <w:rsid w:val="00693474"/>
    <w:rsid w:val="0069369A"/>
    <w:rsid w:val="00693AAF"/>
    <w:rsid w:val="0069403B"/>
    <w:rsid w:val="0069418E"/>
    <w:rsid w:val="006942D9"/>
    <w:rsid w:val="00694359"/>
    <w:rsid w:val="00694557"/>
    <w:rsid w:val="00694871"/>
    <w:rsid w:val="006949A9"/>
    <w:rsid w:val="00694B18"/>
    <w:rsid w:val="00694C96"/>
    <w:rsid w:val="0069524B"/>
    <w:rsid w:val="006952E6"/>
    <w:rsid w:val="00695771"/>
    <w:rsid w:val="0069588D"/>
    <w:rsid w:val="00695E5E"/>
    <w:rsid w:val="00695F93"/>
    <w:rsid w:val="0069627B"/>
    <w:rsid w:val="0069683B"/>
    <w:rsid w:val="006968F0"/>
    <w:rsid w:val="00696B0B"/>
    <w:rsid w:val="006970FA"/>
    <w:rsid w:val="0069731F"/>
    <w:rsid w:val="006973BD"/>
    <w:rsid w:val="0069751B"/>
    <w:rsid w:val="006975A0"/>
    <w:rsid w:val="00697653"/>
    <w:rsid w:val="00697B56"/>
    <w:rsid w:val="00697D42"/>
    <w:rsid w:val="00697EA4"/>
    <w:rsid w:val="00697EB9"/>
    <w:rsid w:val="00697ECD"/>
    <w:rsid w:val="006A014E"/>
    <w:rsid w:val="006A08E0"/>
    <w:rsid w:val="006A0A88"/>
    <w:rsid w:val="006A0D92"/>
    <w:rsid w:val="006A0EAA"/>
    <w:rsid w:val="006A1033"/>
    <w:rsid w:val="006A104D"/>
    <w:rsid w:val="006A12E0"/>
    <w:rsid w:val="006A1527"/>
    <w:rsid w:val="006A1729"/>
    <w:rsid w:val="006A1791"/>
    <w:rsid w:val="006A17A0"/>
    <w:rsid w:val="006A1CD0"/>
    <w:rsid w:val="006A1F60"/>
    <w:rsid w:val="006A207C"/>
    <w:rsid w:val="006A2565"/>
    <w:rsid w:val="006A27E2"/>
    <w:rsid w:val="006A2C15"/>
    <w:rsid w:val="006A2C3B"/>
    <w:rsid w:val="006A2C6E"/>
    <w:rsid w:val="006A2D44"/>
    <w:rsid w:val="006A32DA"/>
    <w:rsid w:val="006A33ED"/>
    <w:rsid w:val="006A34CA"/>
    <w:rsid w:val="006A3650"/>
    <w:rsid w:val="006A36E6"/>
    <w:rsid w:val="006A37A7"/>
    <w:rsid w:val="006A37E0"/>
    <w:rsid w:val="006A389E"/>
    <w:rsid w:val="006A3964"/>
    <w:rsid w:val="006A3E63"/>
    <w:rsid w:val="006A3E8A"/>
    <w:rsid w:val="006A42F2"/>
    <w:rsid w:val="006A4456"/>
    <w:rsid w:val="006A46C7"/>
    <w:rsid w:val="006A4848"/>
    <w:rsid w:val="006A49A2"/>
    <w:rsid w:val="006A4D3A"/>
    <w:rsid w:val="006A4DAD"/>
    <w:rsid w:val="006A50BA"/>
    <w:rsid w:val="006A53A8"/>
    <w:rsid w:val="006A5561"/>
    <w:rsid w:val="006A5BFD"/>
    <w:rsid w:val="006A5C6C"/>
    <w:rsid w:val="006A5E0D"/>
    <w:rsid w:val="006A5FC8"/>
    <w:rsid w:val="006A6097"/>
    <w:rsid w:val="006A611D"/>
    <w:rsid w:val="006A61F1"/>
    <w:rsid w:val="006A655B"/>
    <w:rsid w:val="006A6921"/>
    <w:rsid w:val="006A69C7"/>
    <w:rsid w:val="006A6BEB"/>
    <w:rsid w:val="006A6C68"/>
    <w:rsid w:val="006A6D7F"/>
    <w:rsid w:val="006A6DCC"/>
    <w:rsid w:val="006A6F81"/>
    <w:rsid w:val="006A6FBE"/>
    <w:rsid w:val="006A706B"/>
    <w:rsid w:val="006A72FC"/>
    <w:rsid w:val="006A7332"/>
    <w:rsid w:val="006A73F1"/>
    <w:rsid w:val="006A74F9"/>
    <w:rsid w:val="006A75C5"/>
    <w:rsid w:val="006A77C5"/>
    <w:rsid w:val="006A7E9E"/>
    <w:rsid w:val="006B01C3"/>
    <w:rsid w:val="006B087E"/>
    <w:rsid w:val="006B08FF"/>
    <w:rsid w:val="006B0ADE"/>
    <w:rsid w:val="006B0FA9"/>
    <w:rsid w:val="006B10B0"/>
    <w:rsid w:val="006B121C"/>
    <w:rsid w:val="006B14B8"/>
    <w:rsid w:val="006B1582"/>
    <w:rsid w:val="006B1644"/>
    <w:rsid w:val="006B1729"/>
    <w:rsid w:val="006B1BA1"/>
    <w:rsid w:val="006B1D87"/>
    <w:rsid w:val="006B253C"/>
    <w:rsid w:val="006B263F"/>
    <w:rsid w:val="006B294A"/>
    <w:rsid w:val="006B2B18"/>
    <w:rsid w:val="006B30D4"/>
    <w:rsid w:val="006B3401"/>
    <w:rsid w:val="006B369B"/>
    <w:rsid w:val="006B381F"/>
    <w:rsid w:val="006B3B57"/>
    <w:rsid w:val="006B3DD9"/>
    <w:rsid w:val="006B41F0"/>
    <w:rsid w:val="006B4337"/>
    <w:rsid w:val="006B4414"/>
    <w:rsid w:val="006B45C7"/>
    <w:rsid w:val="006B46F0"/>
    <w:rsid w:val="006B47B8"/>
    <w:rsid w:val="006B47C2"/>
    <w:rsid w:val="006B491B"/>
    <w:rsid w:val="006B4A2D"/>
    <w:rsid w:val="006B4B31"/>
    <w:rsid w:val="006B4DC8"/>
    <w:rsid w:val="006B4F3A"/>
    <w:rsid w:val="006B52B7"/>
    <w:rsid w:val="006B52F1"/>
    <w:rsid w:val="006B5F67"/>
    <w:rsid w:val="006B5FB1"/>
    <w:rsid w:val="006B6556"/>
    <w:rsid w:val="006B6A0F"/>
    <w:rsid w:val="006B6D93"/>
    <w:rsid w:val="006B706F"/>
    <w:rsid w:val="006B7876"/>
    <w:rsid w:val="006B79DB"/>
    <w:rsid w:val="006B7F98"/>
    <w:rsid w:val="006C038F"/>
    <w:rsid w:val="006C040D"/>
    <w:rsid w:val="006C0594"/>
    <w:rsid w:val="006C0747"/>
    <w:rsid w:val="006C074A"/>
    <w:rsid w:val="006C0F5F"/>
    <w:rsid w:val="006C11C1"/>
    <w:rsid w:val="006C13E2"/>
    <w:rsid w:val="006C1A97"/>
    <w:rsid w:val="006C1AE7"/>
    <w:rsid w:val="006C1C04"/>
    <w:rsid w:val="006C1CBB"/>
    <w:rsid w:val="006C1DAA"/>
    <w:rsid w:val="006C2562"/>
    <w:rsid w:val="006C262E"/>
    <w:rsid w:val="006C2636"/>
    <w:rsid w:val="006C2969"/>
    <w:rsid w:val="006C2A6F"/>
    <w:rsid w:val="006C3757"/>
    <w:rsid w:val="006C37C6"/>
    <w:rsid w:val="006C38C1"/>
    <w:rsid w:val="006C3C86"/>
    <w:rsid w:val="006C3E4A"/>
    <w:rsid w:val="006C3E57"/>
    <w:rsid w:val="006C3EE2"/>
    <w:rsid w:val="006C4042"/>
    <w:rsid w:val="006C4058"/>
    <w:rsid w:val="006C439D"/>
    <w:rsid w:val="006C44AA"/>
    <w:rsid w:val="006C4536"/>
    <w:rsid w:val="006C4567"/>
    <w:rsid w:val="006C471F"/>
    <w:rsid w:val="006C47E2"/>
    <w:rsid w:val="006C498B"/>
    <w:rsid w:val="006C49D8"/>
    <w:rsid w:val="006C4DD3"/>
    <w:rsid w:val="006C4E67"/>
    <w:rsid w:val="006C4F60"/>
    <w:rsid w:val="006C5151"/>
    <w:rsid w:val="006C53E6"/>
    <w:rsid w:val="006C6228"/>
    <w:rsid w:val="006C6269"/>
    <w:rsid w:val="006C677C"/>
    <w:rsid w:val="006C67DB"/>
    <w:rsid w:val="006C6C32"/>
    <w:rsid w:val="006C6C51"/>
    <w:rsid w:val="006C6C6B"/>
    <w:rsid w:val="006C6D70"/>
    <w:rsid w:val="006C6DDD"/>
    <w:rsid w:val="006C6E5C"/>
    <w:rsid w:val="006C6F70"/>
    <w:rsid w:val="006C7079"/>
    <w:rsid w:val="006C70C4"/>
    <w:rsid w:val="006C741E"/>
    <w:rsid w:val="006C78C7"/>
    <w:rsid w:val="006C790A"/>
    <w:rsid w:val="006C7AF5"/>
    <w:rsid w:val="006C7E76"/>
    <w:rsid w:val="006D004A"/>
    <w:rsid w:val="006D02A9"/>
    <w:rsid w:val="006D078E"/>
    <w:rsid w:val="006D082B"/>
    <w:rsid w:val="006D12A4"/>
    <w:rsid w:val="006D12AD"/>
    <w:rsid w:val="006D1311"/>
    <w:rsid w:val="006D152F"/>
    <w:rsid w:val="006D15D5"/>
    <w:rsid w:val="006D19AC"/>
    <w:rsid w:val="006D19BD"/>
    <w:rsid w:val="006D1ACB"/>
    <w:rsid w:val="006D1B14"/>
    <w:rsid w:val="006D1B80"/>
    <w:rsid w:val="006D2115"/>
    <w:rsid w:val="006D2171"/>
    <w:rsid w:val="006D21C8"/>
    <w:rsid w:val="006D2259"/>
    <w:rsid w:val="006D2561"/>
    <w:rsid w:val="006D2BC3"/>
    <w:rsid w:val="006D2C51"/>
    <w:rsid w:val="006D308C"/>
    <w:rsid w:val="006D3315"/>
    <w:rsid w:val="006D3359"/>
    <w:rsid w:val="006D39C3"/>
    <w:rsid w:val="006D3ECB"/>
    <w:rsid w:val="006D42F8"/>
    <w:rsid w:val="006D43DE"/>
    <w:rsid w:val="006D4426"/>
    <w:rsid w:val="006D4489"/>
    <w:rsid w:val="006D46DE"/>
    <w:rsid w:val="006D47BC"/>
    <w:rsid w:val="006D4A3A"/>
    <w:rsid w:val="006D4D46"/>
    <w:rsid w:val="006D4D5C"/>
    <w:rsid w:val="006D4EBC"/>
    <w:rsid w:val="006D5181"/>
    <w:rsid w:val="006D51DA"/>
    <w:rsid w:val="006D54FA"/>
    <w:rsid w:val="006D562E"/>
    <w:rsid w:val="006D612C"/>
    <w:rsid w:val="006D64AD"/>
    <w:rsid w:val="006D64BA"/>
    <w:rsid w:val="006D68E1"/>
    <w:rsid w:val="006D6AB4"/>
    <w:rsid w:val="006D74F7"/>
    <w:rsid w:val="006D7727"/>
    <w:rsid w:val="006D7D81"/>
    <w:rsid w:val="006E00C8"/>
    <w:rsid w:val="006E024C"/>
    <w:rsid w:val="006E0368"/>
    <w:rsid w:val="006E055A"/>
    <w:rsid w:val="006E0840"/>
    <w:rsid w:val="006E10C0"/>
    <w:rsid w:val="006E115B"/>
    <w:rsid w:val="006E120A"/>
    <w:rsid w:val="006E12EA"/>
    <w:rsid w:val="006E14F3"/>
    <w:rsid w:val="006E1AA9"/>
    <w:rsid w:val="006E1C8B"/>
    <w:rsid w:val="006E1D16"/>
    <w:rsid w:val="006E1E92"/>
    <w:rsid w:val="006E1FD8"/>
    <w:rsid w:val="006E20B2"/>
    <w:rsid w:val="006E2271"/>
    <w:rsid w:val="006E25E0"/>
    <w:rsid w:val="006E2933"/>
    <w:rsid w:val="006E2A2A"/>
    <w:rsid w:val="006E2B75"/>
    <w:rsid w:val="006E2ECC"/>
    <w:rsid w:val="006E313A"/>
    <w:rsid w:val="006E32F5"/>
    <w:rsid w:val="006E335B"/>
    <w:rsid w:val="006E360F"/>
    <w:rsid w:val="006E3895"/>
    <w:rsid w:val="006E3CE4"/>
    <w:rsid w:val="006E3DA9"/>
    <w:rsid w:val="006E3E71"/>
    <w:rsid w:val="006E3F96"/>
    <w:rsid w:val="006E4021"/>
    <w:rsid w:val="006E4063"/>
    <w:rsid w:val="006E4260"/>
    <w:rsid w:val="006E4ACB"/>
    <w:rsid w:val="006E4B84"/>
    <w:rsid w:val="006E4BF5"/>
    <w:rsid w:val="006E4F56"/>
    <w:rsid w:val="006E4FDF"/>
    <w:rsid w:val="006E5255"/>
    <w:rsid w:val="006E562E"/>
    <w:rsid w:val="006E5653"/>
    <w:rsid w:val="006E57C6"/>
    <w:rsid w:val="006E5963"/>
    <w:rsid w:val="006E5D5C"/>
    <w:rsid w:val="006E5D6B"/>
    <w:rsid w:val="006E5F56"/>
    <w:rsid w:val="006E6160"/>
    <w:rsid w:val="006E6553"/>
    <w:rsid w:val="006E67FB"/>
    <w:rsid w:val="006E6E58"/>
    <w:rsid w:val="006E6F19"/>
    <w:rsid w:val="006F0107"/>
    <w:rsid w:val="006F03E1"/>
    <w:rsid w:val="006F0A7E"/>
    <w:rsid w:val="006F0ED5"/>
    <w:rsid w:val="006F14C8"/>
    <w:rsid w:val="006F1556"/>
    <w:rsid w:val="006F1613"/>
    <w:rsid w:val="006F1632"/>
    <w:rsid w:val="006F19A2"/>
    <w:rsid w:val="006F1A1B"/>
    <w:rsid w:val="006F1A3B"/>
    <w:rsid w:val="006F1B55"/>
    <w:rsid w:val="006F1C22"/>
    <w:rsid w:val="006F2056"/>
    <w:rsid w:val="006F20CA"/>
    <w:rsid w:val="006F2129"/>
    <w:rsid w:val="006F21C8"/>
    <w:rsid w:val="006F2211"/>
    <w:rsid w:val="006F2853"/>
    <w:rsid w:val="006F28DC"/>
    <w:rsid w:val="006F2DFD"/>
    <w:rsid w:val="006F35D6"/>
    <w:rsid w:val="006F3795"/>
    <w:rsid w:val="006F408C"/>
    <w:rsid w:val="006F4433"/>
    <w:rsid w:val="006F456B"/>
    <w:rsid w:val="006F4765"/>
    <w:rsid w:val="006F4794"/>
    <w:rsid w:val="006F4889"/>
    <w:rsid w:val="006F4D48"/>
    <w:rsid w:val="006F5317"/>
    <w:rsid w:val="006F58BD"/>
    <w:rsid w:val="006F58E2"/>
    <w:rsid w:val="006F5B60"/>
    <w:rsid w:val="006F5F5B"/>
    <w:rsid w:val="006F606C"/>
    <w:rsid w:val="006F6126"/>
    <w:rsid w:val="006F63A4"/>
    <w:rsid w:val="006F693D"/>
    <w:rsid w:val="006F6C8F"/>
    <w:rsid w:val="006F7158"/>
    <w:rsid w:val="006F71FF"/>
    <w:rsid w:val="006F7414"/>
    <w:rsid w:val="006F7825"/>
    <w:rsid w:val="006F78F6"/>
    <w:rsid w:val="006F7DDD"/>
    <w:rsid w:val="006F7FC1"/>
    <w:rsid w:val="007001CB"/>
    <w:rsid w:val="00700233"/>
    <w:rsid w:val="0070059F"/>
    <w:rsid w:val="007005A8"/>
    <w:rsid w:val="00700708"/>
    <w:rsid w:val="0070092A"/>
    <w:rsid w:val="00700D64"/>
    <w:rsid w:val="007010E7"/>
    <w:rsid w:val="00701A3A"/>
    <w:rsid w:val="00701A7E"/>
    <w:rsid w:val="00701AAA"/>
    <w:rsid w:val="00701BB9"/>
    <w:rsid w:val="007027A6"/>
    <w:rsid w:val="00702F00"/>
    <w:rsid w:val="0070314A"/>
    <w:rsid w:val="007035EE"/>
    <w:rsid w:val="00703704"/>
    <w:rsid w:val="00703867"/>
    <w:rsid w:val="00703C95"/>
    <w:rsid w:val="00703F2F"/>
    <w:rsid w:val="0070416D"/>
    <w:rsid w:val="00704B0C"/>
    <w:rsid w:val="00704DE5"/>
    <w:rsid w:val="00704E8F"/>
    <w:rsid w:val="00704F07"/>
    <w:rsid w:val="00705101"/>
    <w:rsid w:val="007053D2"/>
    <w:rsid w:val="00705417"/>
    <w:rsid w:val="0070571B"/>
    <w:rsid w:val="00705AC8"/>
    <w:rsid w:val="00705C5B"/>
    <w:rsid w:val="00706594"/>
    <w:rsid w:val="00706992"/>
    <w:rsid w:val="00706A12"/>
    <w:rsid w:val="00706D73"/>
    <w:rsid w:val="007073AD"/>
    <w:rsid w:val="007075FC"/>
    <w:rsid w:val="00707715"/>
    <w:rsid w:val="00707EAE"/>
    <w:rsid w:val="007100A7"/>
    <w:rsid w:val="007101D7"/>
    <w:rsid w:val="007101E1"/>
    <w:rsid w:val="00710710"/>
    <w:rsid w:val="007107DB"/>
    <w:rsid w:val="00710F44"/>
    <w:rsid w:val="00711118"/>
    <w:rsid w:val="007111E8"/>
    <w:rsid w:val="00711517"/>
    <w:rsid w:val="00711605"/>
    <w:rsid w:val="00711CCA"/>
    <w:rsid w:val="00711DC2"/>
    <w:rsid w:val="00711DF7"/>
    <w:rsid w:val="00711FA3"/>
    <w:rsid w:val="00712277"/>
    <w:rsid w:val="0071240E"/>
    <w:rsid w:val="00712532"/>
    <w:rsid w:val="007125DF"/>
    <w:rsid w:val="00712801"/>
    <w:rsid w:val="00712B17"/>
    <w:rsid w:val="00712CBC"/>
    <w:rsid w:val="00713013"/>
    <w:rsid w:val="00713169"/>
    <w:rsid w:val="0071319C"/>
    <w:rsid w:val="007131A3"/>
    <w:rsid w:val="00713ECB"/>
    <w:rsid w:val="00713EDC"/>
    <w:rsid w:val="007140E9"/>
    <w:rsid w:val="00714451"/>
    <w:rsid w:val="00714483"/>
    <w:rsid w:val="00714533"/>
    <w:rsid w:val="007145B9"/>
    <w:rsid w:val="00714884"/>
    <w:rsid w:val="00714D17"/>
    <w:rsid w:val="00715DEA"/>
    <w:rsid w:val="00715EAE"/>
    <w:rsid w:val="00716193"/>
    <w:rsid w:val="0071686E"/>
    <w:rsid w:val="007168DF"/>
    <w:rsid w:val="007169BB"/>
    <w:rsid w:val="00716A78"/>
    <w:rsid w:val="00716B82"/>
    <w:rsid w:val="00716F8F"/>
    <w:rsid w:val="00717340"/>
    <w:rsid w:val="00717366"/>
    <w:rsid w:val="007173E4"/>
    <w:rsid w:val="0071767B"/>
    <w:rsid w:val="007177AE"/>
    <w:rsid w:val="0071787E"/>
    <w:rsid w:val="007179A9"/>
    <w:rsid w:val="007179F5"/>
    <w:rsid w:val="00717C95"/>
    <w:rsid w:val="00717C99"/>
    <w:rsid w:val="00717FC1"/>
    <w:rsid w:val="007207BF"/>
    <w:rsid w:val="00720952"/>
    <w:rsid w:val="007209E7"/>
    <w:rsid w:val="00720E01"/>
    <w:rsid w:val="00720ED4"/>
    <w:rsid w:val="00720F08"/>
    <w:rsid w:val="00721598"/>
    <w:rsid w:val="00721934"/>
    <w:rsid w:val="0072199D"/>
    <w:rsid w:val="00721AA1"/>
    <w:rsid w:val="00721F5F"/>
    <w:rsid w:val="007221D1"/>
    <w:rsid w:val="00722987"/>
    <w:rsid w:val="007230B2"/>
    <w:rsid w:val="0072353A"/>
    <w:rsid w:val="007238F1"/>
    <w:rsid w:val="007239E5"/>
    <w:rsid w:val="00723B8F"/>
    <w:rsid w:val="00723C42"/>
    <w:rsid w:val="00723EC1"/>
    <w:rsid w:val="0072447E"/>
    <w:rsid w:val="007244B5"/>
    <w:rsid w:val="0072478D"/>
    <w:rsid w:val="00724B3F"/>
    <w:rsid w:val="007250B3"/>
    <w:rsid w:val="0072540C"/>
    <w:rsid w:val="00725C50"/>
    <w:rsid w:val="00725C9A"/>
    <w:rsid w:val="00725F57"/>
    <w:rsid w:val="00726197"/>
    <w:rsid w:val="00726F46"/>
    <w:rsid w:val="00726F92"/>
    <w:rsid w:val="00726FD4"/>
    <w:rsid w:val="00727578"/>
    <w:rsid w:val="00727890"/>
    <w:rsid w:val="007279A0"/>
    <w:rsid w:val="00727B12"/>
    <w:rsid w:val="00727BAD"/>
    <w:rsid w:val="00727BFD"/>
    <w:rsid w:val="00727F44"/>
    <w:rsid w:val="00730A02"/>
    <w:rsid w:val="00730B76"/>
    <w:rsid w:val="00730BDE"/>
    <w:rsid w:val="00730E10"/>
    <w:rsid w:val="007310FE"/>
    <w:rsid w:val="00731134"/>
    <w:rsid w:val="007311F7"/>
    <w:rsid w:val="00731365"/>
    <w:rsid w:val="007313DA"/>
    <w:rsid w:val="0073178B"/>
    <w:rsid w:val="00731FD8"/>
    <w:rsid w:val="00732237"/>
    <w:rsid w:val="00732289"/>
    <w:rsid w:val="0073241B"/>
    <w:rsid w:val="0073249D"/>
    <w:rsid w:val="007326EE"/>
    <w:rsid w:val="007328A2"/>
    <w:rsid w:val="007329BC"/>
    <w:rsid w:val="00732B40"/>
    <w:rsid w:val="007333CD"/>
    <w:rsid w:val="007335AA"/>
    <w:rsid w:val="0073371E"/>
    <w:rsid w:val="00733748"/>
    <w:rsid w:val="007338F8"/>
    <w:rsid w:val="00734528"/>
    <w:rsid w:val="00734546"/>
    <w:rsid w:val="00734698"/>
    <w:rsid w:val="00734A8F"/>
    <w:rsid w:val="00734AF0"/>
    <w:rsid w:val="00734D0F"/>
    <w:rsid w:val="00734FEE"/>
    <w:rsid w:val="00735A76"/>
    <w:rsid w:val="00735E1E"/>
    <w:rsid w:val="00735E47"/>
    <w:rsid w:val="0073641B"/>
    <w:rsid w:val="0073658D"/>
    <w:rsid w:val="007368C9"/>
    <w:rsid w:val="00736B0F"/>
    <w:rsid w:val="00736F1F"/>
    <w:rsid w:val="00736F2A"/>
    <w:rsid w:val="007371CD"/>
    <w:rsid w:val="007377A2"/>
    <w:rsid w:val="0073780A"/>
    <w:rsid w:val="00737E44"/>
    <w:rsid w:val="00737F6C"/>
    <w:rsid w:val="0074034D"/>
    <w:rsid w:val="00740800"/>
    <w:rsid w:val="00740AB6"/>
    <w:rsid w:val="00740BDA"/>
    <w:rsid w:val="00741152"/>
    <w:rsid w:val="00741472"/>
    <w:rsid w:val="00741B97"/>
    <w:rsid w:val="00741EE1"/>
    <w:rsid w:val="00742159"/>
    <w:rsid w:val="007422B9"/>
    <w:rsid w:val="00742388"/>
    <w:rsid w:val="007425D4"/>
    <w:rsid w:val="0074277D"/>
    <w:rsid w:val="007429B0"/>
    <w:rsid w:val="0074329E"/>
    <w:rsid w:val="007432C2"/>
    <w:rsid w:val="0074455E"/>
    <w:rsid w:val="007447A1"/>
    <w:rsid w:val="007447FA"/>
    <w:rsid w:val="00744969"/>
    <w:rsid w:val="00745096"/>
    <w:rsid w:val="007450DC"/>
    <w:rsid w:val="0074551C"/>
    <w:rsid w:val="00745714"/>
    <w:rsid w:val="00745770"/>
    <w:rsid w:val="00745863"/>
    <w:rsid w:val="007458BE"/>
    <w:rsid w:val="00745B0B"/>
    <w:rsid w:val="00745F04"/>
    <w:rsid w:val="00745F4B"/>
    <w:rsid w:val="00746C1D"/>
    <w:rsid w:val="00746DBA"/>
    <w:rsid w:val="00747151"/>
    <w:rsid w:val="007473C6"/>
    <w:rsid w:val="0074743A"/>
    <w:rsid w:val="007477F7"/>
    <w:rsid w:val="00747871"/>
    <w:rsid w:val="00747982"/>
    <w:rsid w:val="007479E3"/>
    <w:rsid w:val="00747BBD"/>
    <w:rsid w:val="00747DFE"/>
    <w:rsid w:val="00747FCF"/>
    <w:rsid w:val="00750804"/>
    <w:rsid w:val="0075102F"/>
    <w:rsid w:val="007510F9"/>
    <w:rsid w:val="0075110D"/>
    <w:rsid w:val="00751365"/>
    <w:rsid w:val="0075142C"/>
    <w:rsid w:val="007517D0"/>
    <w:rsid w:val="00751976"/>
    <w:rsid w:val="0075199A"/>
    <w:rsid w:val="007519BE"/>
    <w:rsid w:val="007521DD"/>
    <w:rsid w:val="007521F5"/>
    <w:rsid w:val="007522F5"/>
    <w:rsid w:val="00752494"/>
    <w:rsid w:val="00752542"/>
    <w:rsid w:val="007528AC"/>
    <w:rsid w:val="00752970"/>
    <w:rsid w:val="00752A85"/>
    <w:rsid w:val="00752A98"/>
    <w:rsid w:val="00752EFA"/>
    <w:rsid w:val="007531E1"/>
    <w:rsid w:val="007532E7"/>
    <w:rsid w:val="00753352"/>
    <w:rsid w:val="007536D1"/>
    <w:rsid w:val="00753AEB"/>
    <w:rsid w:val="00753B4A"/>
    <w:rsid w:val="007540E7"/>
    <w:rsid w:val="00754415"/>
    <w:rsid w:val="00754465"/>
    <w:rsid w:val="007545CD"/>
    <w:rsid w:val="007545F4"/>
    <w:rsid w:val="00754B78"/>
    <w:rsid w:val="00754C1D"/>
    <w:rsid w:val="00754C9C"/>
    <w:rsid w:val="00755176"/>
    <w:rsid w:val="007551ED"/>
    <w:rsid w:val="0075528E"/>
    <w:rsid w:val="00755418"/>
    <w:rsid w:val="0075584D"/>
    <w:rsid w:val="00755958"/>
    <w:rsid w:val="00755C90"/>
    <w:rsid w:val="00755D3F"/>
    <w:rsid w:val="00755D62"/>
    <w:rsid w:val="0075609C"/>
    <w:rsid w:val="00756562"/>
    <w:rsid w:val="00756C6A"/>
    <w:rsid w:val="00756D38"/>
    <w:rsid w:val="007570A4"/>
    <w:rsid w:val="00757724"/>
    <w:rsid w:val="0075789F"/>
    <w:rsid w:val="007578C9"/>
    <w:rsid w:val="00757984"/>
    <w:rsid w:val="00757F24"/>
    <w:rsid w:val="00757FD5"/>
    <w:rsid w:val="00760181"/>
    <w:rsid w:val="00760580"/>
    <w:rsid w:val="00760681"/>
    <w:rsid w:val="007608D6"/>
    <w:rsid w:val="00760C38"/>
    <w:rsid w:val="007611BD"/>
    <w:rsid w:val="007613CB"/>
    <w:rsid w:val="007617A8"/>
    <w:rsid w:val="007617FF"/>
    <w:rsid w:val="007619BF"/>
    <w:rsid w:val="00762428"/>
    <w:rsid w:val="007626DB"/>
    <w:rsid w:val="00762AD6"/>
    <w:rsid w:val="00762F43"/>
    <w:rsid w:val="00763403"/>
    <w:rsid w:val="00763638"/>
    <w:rsid w:val="007639E6"/>
    <w:rsid w:val="00763B8E"/>
    <w:rsid w:val="00763F10"/>
    <w:rsid w:val="00764476"/>
    <w:rsid w:val="00764803"/>
    <w:rsid w:val="00764BCA"/>
    <w:rsid w:val="00764C7E"/>
    <w:rsid w:val="00764D34"/>
    <w:rsid w:val="00764F1E"/>
    <w:rsid w:val="007650B5"/>
    <w:rsid w:val="007653A2"/>
    <w:rsid w:val="007653F4"/>
    <w:rsid w:val="0076579B"/>
    <w:rsid w:val="00765BD6"/>
    <w:rsid w:val="00765D4F"/>
    <w:rsid w:val="00765DF2"/>
    <w:rsid w:val="00765E11"/>
    <w:rsid w:val="0076610F"/>
    <w:rsid w:val="00766110"/>
    <w:rsid w:val="00766233"/>
    <w:rsid w:val="00766918"/>
    <w:rsid w:val="00767248"/>
    <w:rsid w:val="00767409"/>
    <w:rsid w:val="007679EB"/>
    <w:rsid w:val="00767A1E"/>
    <w:rsid w:val="00767A2C"/>
    <w:rsid w:val="00767EB6"/>
    <w:rsid w:val="007702B5"/>
    <w:rsid w:val="00770480"/>
    <w:rsid w:val="00770557"/>
    <w:rsid w:val="00770991"/>
    <w:rsid w:val="00770CE3"/>
    <w:rsid w:val="00770D96"/>
    <w:rsid w:val="00770E8C"/>
    <w:rsid w:val="00771315"/>
    <w:rsid w:val="007716A7"/>
    <w:rsid w:val="00771E36"/>
    <w:rsid w:val="00771F57"/>
    <w:rsid w:val="00772585"/>
    <w:rsid w:val="007728E5"/>
    <w:rsid w:val="007728FA"/>
    <w:rsid w:val="007729BA"/>
    <w:rsid w:val="00772A44"/>
    <w:rsid w:val="00772D73"/>
    <w:rsid w:val="007734A6"/>
    <w:rsid w:val="007735B2"/>
    <w:rsid w:val="00773967"/>
    <w:rsid w:val="00773BFA"/>
    <w:rsid w:val="00773DA7"/>
    <w:rsid w:val="00773EE2"/>
    <w:rsid w:val="00773F0C"/>
    <w:rsid w:val="00774197"/>
    <w:rsid w:val="00774330"/>
    <w:rsid w:val="00774375"/>
    <w:rsid w:val="007743EB"/>
    <w:rsid w:val="0077475E"/>
    <w:rsid w:val="007747AE"/>
    <w:rsid w:val="00774ED7"/>
    <w:rsid w:val="00774F3E"/>
    <w:rsid w:val="00774FED"/>
    <w:rsid w:val="0077557F"/>
    <w:rsid w:val="00775B9A"/>
    <w:rsid w:val="00775EC5"/>
    <w:rsid w:val="00776251"/>
    <w:rsid w:val="00776DF0"/>
    <w:rsid w:val="00777381"/>
    <w:rsid w:val="007775EB"/>
    <w:rsid w:val="00777869"/>
    <w:rsid w:val="00777B05"/>
    <w:rsid w:val="00780047"/>
    <w:rsid w:val="007803A7"/>
    <w:rsid w:val="00780827"/>
    <w:rsid w:val="007808D6"/>
    <w:rsid w:val="00780CF9"/>
    <w:rsid w:val="00780DEC"/>
    <w:rsid w:val="007813FC"/>
    <w:rsid w:val="00781565"/>
    <w:rsid w:val="00781EF0"/>
    <w:rsid w:val="007820FD"/>
    <w:rsid w:val="00782419"/>
    <w:rsid w:val="00782806"/>
    <w:rsid w:val="0078297F"/>
    <w:rsid w:val="00782CE6"/>
    <w:rsid w:val="00782D74"/>
    <w:rsid w:val="00782F4B"/>
    <w:rsid w:val="007831FF"/>
    <w:rsid w:val="007832CB"/>
    <w:rsid w:val="00783330"/>
    <w:rsid w:val="00783512"/>
    <w:rsid w:val="0078387C"/>
    <w:rsid w:val="00783999"/>
    <w:rsid w:val="00784744"/>
    <w:rsid w:val="00784EB7"/>
    <w:rsid w:val="00785722"/>
    <w:rsid w:val="007861F9"/>
    <w:rsid w:val="0078620B"/>
    <w:rsid w:val="0078644E"/>
    <w:rsid w:val="0078665E"/>
    <w:rsid w:val="00786665"/>
    <w:rsid w:val="00786868"/>
    <w:rsid w:val="00786A72"/>
    <w:rsid w:val="00786FCC"/>
    <w:rsid w:val="0078706D"/>
    <w:rsid w:val="007870D0"/>
    <w:rsid w:val="007872CD"/>
    <w:rsid w:val="0078765E"/>
    <w:rsid w:val="007876C2"/>
    <w:rsid w:val="007879C4"/>
    <w:rsid w:val="007900D8"/>
    <w:rsid w:val="007901A5"/>
    <w:rsid w:val="00790538"/>
    <w:rsid w:val="00790585"/>
    <w:rsid w:val="007905BC"/>
    <w:rsid w:val="00790B44"/>
    <w:rsid w:val="00790C68"/>
    <w:rsid w:val="00790EC6"/>
    <w:rsid w:val="00791994"/>
    <w:rsid w:val="00791AAE"/>
    <w:rsid w:val="00791B16"/>
    <w:rsid w:val="00791D10"/>
    <w:rsid w:val="00791E4A"/>
    <w:rsid w:val="00791E4C"/>
    <w:rsid w:val="007921C7"/>
    <w:rsid w:val="007923C1"/>
    <w:rsid w:val="00792592"/>
    <w:rsid w:val="007927E7"/>
    <w:rsid w:val="00792C1A"/>
    <w:rsid w:val="00792D74"/>
    <w:rsid w:val="00792FE5"/>
    <w:rsid w:val="0079349A"/>
    <w:rsid w:val="007935D7"/>
    <w:rsid w:val="00793647"/>
    <w:rsid w:val="0079370B"/>
    <w:rsid w:val="00793B66"/>
    <w:rsid w:val="00793D01"/>
    <w:rsid w:val="00793D34"/>
    <w:rsid w:val="00793E22"/>
    <w:rsid w:val="00793E3E"/>
    <w:rsid w:val="00793FA2"/>
    <w:rsid w:val="00794104"/>
    <w:rsid w:val="00794386"/>
    <w:rsid w:val="00794474"/>
    <w:rsid w:val="0079472B"/>
    <w:rsid w:val="00794844"/>
    <w:rsid w:val="00794F1F"/>
    <w:rsid w:val="00795359"/>
    <w:rsid w:val="00795AF1"/>
    <w:rsid w:val="00795DE9"/>
    <w:rsid w:val="0079609B"/>
    <w:rsid w:val="007960EC"/>
    <w:rsid w:val="00796FAE"/>
    <w:rsid w:val="0079714E"/>
    <w:rsid w:val="00797887"/>
    <w:rsid w:val="00797BFD"/>
    <w:rsid w:val="00797D31"/>
    <w:rsid w:val="00797F8B"/>
    <w:rsid w:val="007A006D"/>
    <w:rsid w:val="007A0262"/>
    <w:rsid w:val="007A03BC"/>
    <w:rsid w:val="007A0509"/>
    <w:rsid w:val="007A0885"/>
    <w:rsid w:val="007A0929"/>
    <w:rsid w:val="007A0D91"/>
    <w:rsid w:val="007A1698"/>
    <w:rsid w:val="007A1A6D"/>
    <w:rsid w:val="007A1E33"/>
    <w:rsid w:val="007A1F7B"/>
    <w:rsid w:val="007A2156"/>
    <w:rsid w:val="007A21BF"/>
    <w:rsid w:val="007A25F2"/>
    <w:rsid w:val="007A27D4"/>
    <w:rsid w:val="007A2C4D"/>
    <w:rsid w:val="007A2E1E"/>
    <w:rsid w:val="007A41D2"/>
    <w:rsid w:val="007A4272"/>
    <w:rsid w:val="007A435D"/>
    <w:rsid w:val="007A459F"/>
    <w:rsid w:val="007A474A"/>
    <w:rsid w:val="007A4D36"/>
    <w:rsid w:val="007A4E74"/>
    <w:rsid w:val="007A502F"/>
    <w:rsid w:val="007A5057"/>
    <w:rsid w:val="007A555A"/>
    <w:rsid w:val="007A5649"/>
    <w:rsid w:val="007A5867"/>
    <w:rsid w:val="007A59FA"/>
    <w:rsid w:val="007A5A5E"/>
    <w:rsid w:val="007A5BA2"/>
    <w:rsid w:val="007A5D5B"/>
    <w:rsid w:val="007A5E32"/>
    <w:rsid w:val="007A614E"/>
    <w:rsid w:val="007A6156"/>
    <w:rsid w:val="007A67CC"/>
    <w:rsid w:val="007A6F39"/>
    <w:rsid w:val="007A72CB"/>
    <w:rsid w:val="007A746F"/>
    <w:rsid w:val="007A7894"/>
    <w:rsid w:val="007A7A8A"/>
    <w:rsid w:val="007A7C4E"/>
    <w:rsid w:val="007A7D95"/>
    <w:rsid w:val="007A7DCE"/>
    <w:rsid w:val="007A7E81"/>
    <w:rsid w:val="007B010A"/>
    <w:rsid w:val="007B0111"/>
    <w:rsid w:val="007B05F8"/>
    <w:rsid w:val="007B0A3D"/>
    <w:rsid w:val="007B0AD1"/>
    <w:rsid w:val="007B11A9"/>
    <w:rsid w:val="007B1A5A"/>
    <w:rsid w:val="007B1BD8"/>
    <w:rsid w:val="007B1C0C"/>
    <w:rsid w:val="007B1EB1"/>
    <w:rsid w:val="007B2FB5"/>
    <w:rsid w:val="007B30D6"/>
    <w:rsid w:val="007B32C3"/>
    <w:rsid w:val="007B337C"/>
    <w:rsid w:val="007B3550"/>
    <w:rsid w:val="007B3762"/>
    <w:rsid w:val="007B3834"/>
    <w:rsid w:val="007B3DE1"/>
    <w:rsid w:val="007B3E13"/>
    <w:rsid w:val="007B3E24"/>
    <w:rsid w:val="007B3F2D"/>
    <w:rsid w:val="007B4370"/>
    <w:rsid w:val="007B4604"/>
    <w:rsid w:val="007B490A"/>
    <w:rsid w:val="007B4C48"/>
    <w:rsid w:val="007B4E46"/>
    <w:rsid w:val="007B4FF6"/>
    <w:rsid w:val="007B5592"/>
    <w:rsid w:val="007B5656"/>
    <w:rsid w:val="007B589D"/>
    <w:rsid w:val="007B596A"/>
    <w:rsid w:val="007B60A8"/>
    <w:rsid w:val="007B6275"/>
    <w:rsid w:val="007B627F"/>
    <w:rsid w:val="007B63DF"/>
    <w:rsid w:val="007B6493"/>
    <w:rsid w:val="007B666B"/>
    <w:rsid w:val="007B66FE"/>
    <w:rsid w:val="007B686E"/>
    <w:rsid w:val="007B68B7"/>
    <w:rsid w:val="007B6C91"/>
    <w:rsid w:val="007B77C2"/>
    <w:rsid w:val="007B79C3"/>
    <w:rsid w:val="007C022C"/>
    <w:rsid w:val="007C0339"/>
    <w:rsid w:val="007C0369"/>
    <w:rsid w:val="007C0581"/>
    <w:rsid w:val="007C05DE"/>
    <w:rsid w:val="007C070D"/>
    <w:rsid w:val="007C08A1"/>
    <w:rsid w:val="007C0D67"/>
    <w:rsid w:val="007C0EC7"/>
    <w:rsid w:val="007C0F59"/>
    <w:rsid w:val="007C1280"/>
    <w:rsid w:val="007C16E8"/>
    <w:rsid w:val="007C189B"/>
    <w:rsid w:val="007C189F"/>
    <w:rsid w:val="007C19DE"/>
    <w:rsid w:val="007C1CBF"/>
    <w:rsid w:val="007C25AE"/>
    <w:rsid w:val="007C262E"/>
    <w:rsid w:val="007C27D0"/>
    <w:rsid w:val="007C27ED"/>
    <w:rsid w:val="007C2B79"/>
    <w:rsid w:val="007C2B9F"/>
    <w:rsid w:val="007C2D48"/>
    <w:rsid w:val="007C2E6C"/>
    <w:rsid w:val="007C31DE"/>
    <w:rsid w:val="007C33E7"/>
    <w:rsid w:val="007C3554"/>
    <w:rsid w:val="007C359F"/>
    <w:rsid w:val="007C36E9"/>
    <w:rsid w:val="007C3767"/>
    <w:rsid w:val="007C3857"/>
    <w:rsid w:val="007C3DBC"/>
    <w:rsid w:val="007C3E43"/>
    <w:rsid w:val="007C4350"/>
    <w:rsid w:val="007C436D"/>
    <w:rsid w:val="007C447F"/>
    <w:rsid w:val="007C4753"/>
    <w:rsid w:val="007C48CF"/>
    <w:rsid w:val="007C4FB2"/>
    <w:rsid w:val="007C534F"/>
    <w:rsid w:val="007C57F0"/>
    <w:rsid w:val="007C5817"/>
    <w:rsid w:val="007C6252"/>
    <w:rsid w:val="007C63F1"/>
    <w:rsid w:val="007C6576"/>
    <w:rsid w:val="007C67B8"/>
    <w:rsid w:val="007C6E51"/>
    <w:rsid w:val="007C6F00"/>
    <w:rsid w:val="007C7164"/>
    <w:rsid w:val="007C7401"/>
    <w:rsid w:val="007C7591"/>
    <w:rsid w:val="007C7B1D"/>
    <w:rsid w:val="007C7E79"/>
    <w:rsid w:val="007C7E98"/>
    <w:rsid w:val="007D08EC"/>
    <w:rsid w:val="007D092A"/>
    <w:rsid w:val="007D0BE5"/>
    <w:rsid w:val="007D1008"/>
    <w:rsid w:val="007D1387"/>
    <w:rsid w:val="007D1416"/>
    <w:rsid w:val="007D1466"/>
    <w:rsid w:val="007D1629"/>
    <w:rsid w:val="007D1850"/>
    <w:rsid w:val="007D221A"/>
    <w:rsid w:val="007D2E3F"/>
    <w:rsid w:val="007D30EF"/>
    <w:rsid w:val="007D32C2"/>
    <w:rsid w:val="007D36DC"/>
    <w:rsid w:val="007D38BA"/>
    <w:rsid w:val="007D3991"/>
    <w:rsid w:val="007D3B74"/>
    <w:rsid w:val="007D3CE3"/>
    <w:rsid w:val="007D4029"/>
    <w:rsid w:val="007D4090"/>
    <w:rsid w:val="007D439E"/>
    <w:rsid w:val="007D4509"/>
    <w:rsid w:val="007D4666"/>
    <w:rsid w:val="007D4818"/>
    <w:rsid w:val="007D4909"/>
    <w:rsid w:val="007D4A6A"/>
    <w:rsid w:val="007D4C84"/>
    <w:rsid w:val="007D4F7E"/>
    <w:rsid w:val="007D5259"/>
    <w:rsid w:val="007D56C1"/>
    <w:rsid w:val="007D57D0"/>
    <w:rsid w:val="007D5BC1"/>
    <w:rsid w:val="007D6111"/>
    <w:rsid w:val="007D62D9"/>
    <w:rsid w:val="007D6340"/>
    <w:rsid w:val="007D6399"/>
    <w:rsid w:val="007D6417"/>
    <w:rsid w:val="007D66D6"/>
    <w:rsid w:val="007D68BA"/>
    <w:rsid w:val="007D6C6B"/>
    <w:rsid w:val="007D6E53"/>
    <w:rsid w:val="007D7594"/>
    <w:rsid w:val="007D7CD8"/>
    <w:rsid w:val="007E023E"/>
    <w:rsid w:val="007E0740"/>
    <w:rsid w:val="007E0842"/>
    <w:rsid w:val="007E0A5A"/>
    <w:rsid w:val="007E0C60"/>
    <w:rsid w:val="007E0F39"/>
    <w:rsid w:val="007E0F73"/>
    <w:rsid w:val="007E134F"/>
    <w:rsid w:val="007E13D8"/>
    <w:rsid w:val="007E1674"/>
    <w:rsid w:val="007E1DDE"/>
    <w:rsid w:val="007E1E6F"/>
    <w:rsid w:val="007E1F61"/>
    <w:rsid w:val="007E2611"/>
    <w:rsid w:val="007E2660"/>
    <w:rsid w:val="007E26B9"/>
    <w:rsid w:val="007E27D3"/>
    <w:rsid w:val="007E2BF9"/>
    <w:rsid w:val="007E3098"/>
    <w:rsid w:val="007E3477"/>
    <w:rsid w:val="007E371C"/>
    <w:rsid w:val="007E3782"/>
    <w:rsid w:val="007E37C7"/>
    <w:rsid w:val="007E37DE"/>
    <w:rsid w:val="007E3A5F"/>
    <w:rsid w:val="007E3A7A"/>
    <w:rsid w:val="007E3BB2"/>
    <w:rsid w:val="007E3F7E"/>
    <w:rsid w:val="007E3FE5"/>
    <w:rsid w:val="007E4359"/>
    <w:rsid w:val="007E43FD"/>
    <w:rsid w:val="007E4432"/>
    <w:rsid w:val="007E486A"/>
    <w:rsid w:val="007E4A26"/>
    <w:rsid w:val="007E4B8C"/>
    <w:rsid w:val="007E4F3D"/>
    <w:rsid w:val="007E5127"/>
    <w:rsid w:val="007E56B7"/>
    <w:rsid w:val="007E5AB9"/>
    <w:rsid w:val="007E5FC4"/>
    <w:rsid w:val="007E6A37"/>
    <w:rsid w:val="007E6B2E"/>
    <w:rsid w:val="007E6B75"/>
    <w:rsid w:val="007E6ED3"/>
    <w:rsid w:val="007E700B"/>
    <w:rsid w:val="007E797D"/>
    <w:rsid w:val="007E7DC8"/>
    <w:rsid w:val="007F01A6"/>
    <w:rsid w:val="007F01E6"/>
    <w:rsid w:val="007F0227"/>
    <w:rsid w:val="007F0286"/>
    <w:rsid w:val="007F0320"/>
    <w:rsid w:val="007F0342"/>
    <w:rsid w:val="007F038B"/>
    <w:rsid w:val="007F08E3"/>
    <w:rsid w:val="007F125F"/>
    <w:rsid w:val="007F12A7"/>
    <w:rsid w:val="007F1693"/>
    <w:rsid w:val="007F17E2"/>
    <w:rsid w:val="007F1D99"/>
    <w:rsid w:val="007F20F9"/>
    <w:rsid w:val="007F23F2"/>
    <w:rsid w:val="007F27F7"/>
    <w:rsid w:val="007F2854"/>
    <w:rsid w:val="007F2901"/>
    <w:rsid w:val="007F2B7D"/>
    <w:rsid w:val="007F2F3C"/>
    <w:rsid w:val="007F3072"/>
    <w:rsid w:val="007F30FC"/>
    <w:rsid w:val="007F360D"/>
    <w:rsid w:val="007F3778"/>
    <w:rsid w:val="007F393C"/>
    <w:rsid w:val="007F3A2C"/>
    <w:rsid w:val="007F3C78"/>
    <w:rsid w:val="007F409C"/>
    <w:rsid w:val="007F41EB"/>
    <w:rsid w:val="007F449D"/>
    <w:rsid w:val="007F4864"/>
    <w:rsid w:val="007F48B1"/>
    <w:rsid w:val="007F4A03"/>
    <w:rsid w:val="007F4C21"/>
    <w:rsid w:val="007F52B1"/>
    <w:rsid w:val="007F535C"/>
    <w:rsid w:val="007F54E3"/>
    <w:rsid w:val="007F5551"/>
    <w:rsid w:val="007F5631"/>
    <w:rsid w:val="007F57EE"/>
    <w:rsid w:val="007F6DBD"/>
    <w:rsid w:val="007F722B"/>
    <w:rsid w:val="007F73B8"/>
    <w:rsid w:val="007F771B"/>
    <w:rsid w:val="0080048C"/>
    <w:rsid w:val="008005CD"/>
    <w:rsid w:val="008009E7"/>
    <w:rsid w:val="00800BDA"/>
    <w:rsid w:val="0080122E"/>
    <w:rsid w:val="00801268"/>
    <w:rsid w:val="008013CC"/>
    <w:rsid w:val="0080163A"/>
    <w:rsid w:val="0080183B"/>
    <w:rsid w:val="008018BA"/>
    <w:rsid w:val="00801B88"/>
    <w:rsid w:val="00801DDC"/>
    <w:rsid w:val="00801E63"/>
    <w:rsid w:val="00801F80"/>
    <w:rsid w:val="00801FC4"/>
    <w:rsid w:val="00801FC6"/>
    <w:rsid w:val="00802081"/>
    <w:rsid w:val="00802295"/>
    <w:rsid w:val="00802853"/>
    <w:rsid w:val="00802963"/>
    <w:rsid w:val="008032AF"/>
    <w:rsid w:val="008033EC"/>
    <w:rsid w:val="00803A83"/>
    <w:rsid w:val="00803B33"/>
    <w:rsid w:val="00804260"/>
    <w:rsid w:val="008042AD"/>
    <w:rsid w:val="00804732"/>
    <w:rsid w:val="00804771"/>
    <w:rsid w:val="008048EC"/>
    <w:rsid w:val="0080491B"/>
    <w:rsid w:val="00804CC7"/>
    <w:rsid w:val="00804D3D"/>
    <w:rsid w:val="00804F7B"/>
    <w:rsid w:val="00804F89"/>
    <w:rsid w:val="0080571F"/>
    <w:rsid w:val="008059DC"/>
    <w:rsid w:val="00805A6D"/>
    <w:rsid w:val="00805C4E"/>
    <w:rsid w:val="00805C7D"/>
    <w:rsid w:val="00806002"/>
    <w:rsid w:val="008062F3"/>
    <w:rsid w:val="0080686C"/>
    <w:rsid w:val="008069C0"/>
    <w:rsid w:val="00806C0C"/>
    <w:rsid w:val="0080709D"/>
    <w:rsid w:val="00807D48"/>
    <w:rsid w:val="00810001"/>
    <w:rsid w:val="008101FF"/>
    <w:rsid w:val="00810333"/>
    <w:rsid w:val="00810483"/>
    <w:rsid w:val="008104BD"/>
    <w:rsid w:val="00810614"/>
    <w:rsid w:val="00810705"/>
    <w:rsid w:val="0081072D"/>
    <w:rsid w:val="00810778"/>
    <w:rsid w:val="008109AD"/>
    <w:rsid w:val="008109BC"/>
    <w:rsid w:val="00810C13"/>
    <w:rsid w:val="00811005"/>
    <w:rsid w:val="00811021"/>
    <w:rsid w:val="008111A7"/>
    <w:rsid w:val="008112D7"/>
    <w:rsid w:val="0081142F"/>
    <w:rsid w:val="00811538"/>
    <w:rsid w:val="008117D3"/>
    <w:rsid w:val="0081188E"/>
    <w:rsid w:val="00811FEC"/>
    <w:rsid w:val="00812205"/>
    <w:rsid w:val="00812489"/>
    <w:rsid w:val="0081252D"/>
    <w:rsid w:val="00812765"/>
    <w:rsid w:val="00812790"/>
    <w:rsid w:val="008128C2"/>
    <w:rsid w:val="00812BA3"/>
    <w:rsid w:val="00812D5B"/>
    <w:rsid w:val="00812D9F"/>
    <w:rsid w:val="00813292"/>
    <w:rsid w:val="008133BE"/>
    <w:rsid w:val="008133EB"/>
    <w:rsid w:val="0081384A"/>
    <w:rsid w:val="00813935"/>
    <w:rsid w:val="008139F4"/>
    <w:rsid w:val="00813B57"/>
    <w:rsid w:val="00813B9C"/>
    <w:rsid w:val="0081402D"/>
    <w:rsid w:val="00814109"/>
    <w:rsid w:val="00814244"/>
    <w:rsid w:val="00814500"/>
    <w:rsid w:val="0081464A"/>
    <w:rsid w:val="008148A2"/>
    <w:rsid w:val="00814BF8"/>
    <w:rsid w:val="00814D88"/>
    <w:rsid w:val="00814FCA"/>
    <w:rsid w:val="008154CC"/>
    <w:rsid w:val="00815744"/>
    <w:rsid w:val="008160AC"/>
    <w:rsid w:val="008160DE"/>
    <w:rsid w:val="00816302"/>
    <w:rsid w:val="0081637D"/>
    <w:rsid w:val="00816432"/>
    <w:rsid w:val="0081648E"/>
    <w:rsid w:val="00816491"/>
    <w:rsid w:val="008166D3"/>
    <w:rsid w:val="00816BF2"/>
    <w:rsid w:val="00817154"/>
    <w:rsid w:val="00817494"/>
    <w:rsid w:val="00817877"/>
    <w:rsid w:val="008178EB"/>
    <w:rsid w:val="008178FB"/>
    <w:rsid w:val="00817AFC"/>
    <w:rsid w:val="00817EC6"/>
    <w:rsid w:val="00817F98"/>
    <w:rsid w:val="0082015D"/>
    <w:rsid w:val="00820473"/>
    <w:rsid w:val="00820695"/>
    <w:rsid w:val="0082089D"/>
    <w:rsid w:val="00820A06"/>
    <w:rsid w:val="00820FD1"/>
    <w:rsid w:val="0082165D"/>
    <w:rsid w:val="00821866"/>
    <w:rsid w:val="00821BBF"/>
    <w:rsid w:val="00821D05"/>
    <w:rsid w:val="00821E22"/>
    <w:rsid w:val="008224C4"/>
    <w:rsid w:val="008235BA"/>
    <w:rsid w:val="0082367E"/>
    <w:rsid w:val="008236B4"/>
    <w:rsid w:val="00823EC0"/>
    <w:rsid w:val="00823FD0"/>
    <w:rsid w:val="00824612"/>
    <w:rsid w:val="008247DF"/>
    <w:rsid w:val="00824919"/>
    <w:rsid w:val="00824C53"/>
    <w:rsid w:val="0082538D"/>
    <w:rsid w:val="00825414"/>
    <w:rsid w:val="0082545E"/>
    <w:rsid w:val="00825B01"/>
    <w:rsid w:val="00825C8C"/>
    <w:rsid w:val="008262F1"/>
    <w:rsid w:val="008263F8"/>
    <w:rsid w:val="008265F3"/>
    <w:rsid w:val="00826608"/>
    <w:rsid w:val="0082680A"/>
    <w:rsid w:val="00826904"/>
    <w:rsid w:val="00826A6B"/>
    <w:rsid w:val="00826AE6"/>
    <w:rsid w:val="00826B45"/>
    <w:rsid w:val="0082714C"/>
    <w:rsid w:val="00827246"/>
    <w:rsid w:val="0082731E"/>
    <w:rsid w:val="00827557"/>
    <w:rsid w:val="00830164"/>
    <w:rsid w:val="008301CD"/>
    <w:rsid w:val="008303EB"/>
    <w:rsid w:val="008304A4"/>
    <w:rsid w:val="0083080C"/>
    <w:rsid w:val="008308A5"/>
    <w:rsid w:val="008309B8"/>
    <w:rsid w:val="00830B70"/>
    <w:rsid w:val="00830C60"/>
    <w:rsid w:val="00830D71"/>
    <w:rsid w:val="00830E00"/>
    <w:rsid w:val="00830F4C"/>
    <w:rsid w:val="0083122B"/>
    <w:rsid w:val="008312BB"/>
    <w:rsid w:val="0083177B"/>
    <w:rsid w:val="00831A7C"/>
    <w:rsid w:val="00831C96"/>
    <w:rsid w:val="00832144"/>
    <w:rsid w:val="008321A6"/>
    <w:rsid w:val="0083260B"/>
    <w:rsid w:val="0083263A"/>
    <w:rsid w:val="008326CD"/>
    <w:rsid w:val="008328B9"/>
    <w:rsid w:val="00832915"/>
    <w:rsid w:val="00832952"/>
    <w:rsid w:val="0083298F"/>
    <w:rsid w:val="00832AE3"/>
    <w:rsid w:val="00832FAB"/>
    <w:rsid w:val="00833824"/>
    <w:rsid w:val="00834175"/>
    <w:rsid w:val="008344FE"/>
    <w:rsid w:val="0083460B"/>
    <w:rsid w:val="00834757"/>
    <w:rsid w:val="00834ABC"/>
    <w:rsid w:val="00834B15"/>
    <w:rsid w:val="00834B9C"/>
    <w:rsid w:val="00834C87"/>
    <w:rsid w:val="00834D63"/>
    <w:rsid w:val="008350D3"/>
    <w:rsid w:val="00835146"/>
    <w:rsid w:val="008352BF"/>
    <w:rsid w:val="008358F4"/>
    <w:rsid w:val="00835A1A"/>
    <w:rsid w:val="00835C93"/>
    <w:rsid w:val="00835F11"/>
    <w:rsid w:val="00835FB7"/>
    <w:rsid w:val="00836192"/>
    <w:rsid w:val="008361D5"/>
    <w:rsid w:val="00836403"/>
    <w:rsid w:val="00836434"/>
    <w:rsid w:val="008366A1"/>
    <w:rsid w:val="00836BB9"/>
    <w:rsid w:val="008371DD"/>
    <w:rsid w:val="0083727D"/>
    <w:rsid w:val="008373DA"/>
    <w:rsid w:val="0083748E"/>
    <w:rsid w:val="00837758"/>
    <w:rsid w:val="00837F20"/>
    <w:rsid w:val="00837FE8"/>
    <w:rsid w:val="00837FF8"/>
    <w:rsid w:val="00840366"/>
    <w:rsid w:val="00840376"/>
    <w:rsid w:val="00840736"/>
    <w:rsid w:val="00840784"/>
    <w:rsid w:val="00840831"/>
    <w:rsid w:val="00840B64"/>
    <w:rsid w:val="00840BB1"/>
    <w:rsid w:val="00840ECB"/>
    <w:rsid w:val="00840EF9"/>
    <w:rsid w:val="00840FA3"/>
    <w:rsid w:val="008412DF"/>
    <w:rsid w:val="00841304"/>
    <w:rsid w:val="00841735"/>
    <w:rsid w:val="00841CEA"/>
    <w:rsid w:val="00841FCB"/>
    <w:rsid w:val="008421B1"/>
    <w:rsid w:val="0084224F"/>
    <w:rsid w:val="0084282C"/>
    <w:rsid w:val="00842843"/>
    <w:rsid w:val="00842C1C"/>
    <w:rsid w:val="00842D15"/>
    <w:rsid w:val="00842E4C"/>
    <w:rsid w:val="0084353B"/>
    <w:rsid w:val="00843541"/>
    <w:rsid w:val="008438BA"/>
    <w:rsid w:val="00843ABE"/>
    <w:rsid w:val="00844043"/>
    <w:rsid w:val="00844798"/>
    <w:rsid w:val="00844C76"/>
    <w:rsid w:val="00844C82"/>
    <w:rsid w:val="00844E4B"/>
    <w:rsid w:val="00844E95"/>
    <w:rsid w:val="00845342"/>
    <w:rsid w:val="008454F9"/>
    <w:rsid w:val="00845527"/>
    <w:rsid w:val="0084561D"/>
    <w:rsid w:val="0084583A"/>
    <w:rsid w:val="00845A99"/>
    <w:rsid w:val="00846068"/>
    <w:rsid w:val="00846AD5"/>
    <w:rsid w:val="0084737A"/>
    <w:rsid w:val="0084798E"/>
    <w:rsid w:val="00847C1F"/>
    <w:rsid w:val="00847CA4"/>
    <w:rsid w:val="00847F93"/>
    <w:rsid w:val="008505E1"/>
    <w:rsid w:val="0085093E"/>
    <w:rsid w:val="008509E0"/>
    <w:rsid w:val="00850B04"/>
    <w:rsid w:val="008511E0"/>
    <w:rsid w:val="0085162D"/>
    <w:rsid w:val="008518CA"/>
    <w:rsid w:val="00851B7B"/>
    <w:rsid w:val="00851ECC"/>
    <w:rsid w:val="00852089"/>
    <w:rsid w:val="008522BE"/>
    <w:rsid w:val="00852350"/>
    <w:rsid w:val="00852405"/>
    <w:rsid w:val="0085248E"/>
    <w:rsid w:val="00852592"/>
    <w:rsid w:val="008525C0"/>
    <w:rsid w:val="00852771"/>
    <w:rsid w:val="0085293B"/>
    <w:rsid w:val="0085298A"/>
    <w:rsid w:val="00852E7E"/>
    <w:rsid w:val="008530F5"/>
    <w:rsid w:val="0085331F"/>
    <w:rsid w:val="008533BD"/>
    <w:rsid w:val="00853623"/>
    <w:rsid w:val="00853671"/>
    <w:rsid w:val="00853749"/>
    <w:rsid w:val="00853B30"/>
    <w:rsid w:val="00853C69"/>
    <w:rsid w:val="0085477A"/>
    <w:rsid w:val="0085498C"/>
    <w:rsid w:val="00854D60"/>
    <w:rsid w:val="00854ED4"/>
    <w:rsid w:val="00855157"/>
    <w:rsid w:val="00855599"/>
    <w:rsid w:val="008556FF"/>
    <w:rsid w:val="0085580B"/>
    <w:rsid w:val="008558AD"/>
    <w:rsid w:val="008558E2"/>
    <w:rsid w:val="00855947"/>
    <w:rsid w:val="008561A5"/>
    <w:rsid w:val="008568B7"/>
    <w:rsid w:val="008568C0"/>
    <w:rsid w:val="00856AE0"/>
    <w:rsid w:val="00856C8D"/>
    <w:rsid w:val="00856F75"/>
    <w:rsid w:val="00856FC2"/>
    <w:rsid w:val="0085718D"/>
    <w:rsid w:val="0085744A"/>
    <w:rsid w:val="00857861"/>
    <w:rsid w:val="008578EB"/>
    <w:rsid w:val="00857E04"/>
    <w:rsid w:val="00857E75"/>
    <w:rsid w:val="00857FC5"/>
    <w:rsid w:val="008604DA"/>
    <w:rsid w:val="0086052C"/>
    <w:rsid w:val="00860557"/>
    <w:rsid w:val="00860704"/>
    <w:rsid w:val="008608E0"/>
    <w:rsid w:val="00860941"/>
    <w:rsid w:val="00860F0F"/>
    <w:rsid w:val="0086190F"/>
    <w:rsid w:val="008619E5"/>
    <w:rsid w:val="00861AA0"/>
    <w:rsid w:val="00861C6F"/>
    <w:rsid w:val="00862029"/>
    <w:rsid w:val="0086205D"/>
    <w:rsid w:val="0086223C"/>
    <w:rsid w:val="0086292C"/>
    <w:rsid w:val="00862AA2"/>
    <w:rsid w:val="00862DF8"/>
    <w:rsid w:val="008630AB"/>
    <w:rsid w:val="00863143"/>
    <w:rsid w:val="008633DC"/>
    <w:rsid w:val="008635B4"/>
    <w:rsid w:val="00863751"/>
    <w:rsid w:val="00863757"/>
    <w:rsid w:val="00863856"/>
    <w:rsid w:val="00863990"/>
    <w:rsid w:val="00863B82"/>
    <w:rsid w:val="00863DCC"/>
    <w:rsid w:val="00863E2E"/>
    <w:rsid w:val="00863E8E"/>
    <w:rsid w:val="00863FA8"/>
    <w:rsid w:val="00864166"/>
    <w:rsid w:val="008644D2"/>
    <w:rsid w:val="008647A5"/>
    <w:rsid w:val="00864AB9"/>
    <w:rsid w:val="00864FA1"/>
    <w:rsid w:val="0086540F"/>
    <w:rsid w:val="00865793"/>
    <w:rsid w:val="00865897"/>
    <w:rsid w:val="0086597E"/>
    <w:rsid w:val="008660A9"/>
    <w:rsid w:val="0086630B"/>
    <w:rsid w:val="00866512"/>
    <w:rsid w:val="00866A24"/>
    <w:rsid w:val="00866D0A"/>
    <w:rsid w:val="00866EBA"/>
    <w:rsid w:val="00866F5F"/>
    <w:rsid w:val="00866FDC"/>
    <w:rsid w:val="00867471"/>
    <w:rsid w:val="00867B88"/>
    <w:rsid w:val="00867F48"/>
    <w:rsid w:val="0087013C"/>
    <w:rsid w:val="0087044B"/>
    <w:rsid w:val="008705B1"/>
    <w:rsid w:val="008705DF"/>
    <w:rsid w:val="0087083C"/>
    <w:rsid w:val="008708BE"/>
    <w:rsid w:val="00870913"/>
    <w:rsid w:val="00870933"/>
    <w:rsid w:val="00870BCC"/>
    <w:rsid w:val="00871191"/>
    <w:rsid w:val="008719B7"/>
    <w:rsid w:val="00871AF5"/>
    <w:rsid w:val="00871B43"/>
    <w:rsid w:val="00871F4F"/>
    <w:rsid w:val="00872375"/>
    <w:rsid w:val="00872426"/>
    <w:rsid w:val="008727B4"/>
    <w:rsid w:val="0087299B"/>
    <w:rsid w:val="00872CC5"/>
    <w:rsid w:val="00872D61"/>
    <w:rsid w:val="00872E17"/>
    <w:rsid w:val="00873173"/>
    <w:rsid w:val="00873222"/>
    <w:rsid w:val="00873A34"/>
    <w:rsid w:val="00873AB1"/>
    <w:rsid w:val="00873ABE"/>
    <w:rsid w:val="00873F36"/>
    <w:rsid w:val="00873FFD"/>
    <w:rsid w:val="00874165"/>
    <w:rsid w:val="008741BC"/>
    <w:rsid w:val="008744C7"/>
    <w:rsid w:val="0087467A"/>
    <w:rsid w:val="0087489E"/>
    <w:rsid w:val="00874936"/>
    <w:rsid w:val="00874BA7"/>
    <w:rsid w:val="00874E6B"/>
    <w:rsid w:val="00874F9F"/>
    <w:rsid w:val="00875637"/>
    <w:rsid w:val="00875906"/>
    <w:rsid w:val="00875A8D"/>
    <w:rsid w:val="00875BB0"/>
    <w:rsid w:val="00875C24"/>
    <w:rsid w:val="00875C6E"/>
    <w:rsid w:val="00875D94"/>
    <w:rsid w:val="0087624E"/>
    <w:rsid w:val="0087635F"/>
    <w:rsid w:val="008769A7"/>
    <w:rsid w:val="00876E98"/>
    <w:rsid w:val="0087709D"/>
    <w:rsid w:val="00877586"/>
    <w:rsid w:val="008777CB"/>
    <w:rsid w:val="008778C1"/>
    <w:rsid w:val="00877A31"/>
    <w:rsid w:val="00877D6B"/>
    <w:rsid w:val="00877ED0"/>
    <w:rsid w:val="00880055"/>
    <w:rsid w:val="00880262"/>
    <w:rsid w:val="008806BB"/>
    <w:rsid w:val="00880924"/>
    <w:rsid w:val="00881294"/>
    <w:rsid w:val="00881929"/>
    <w:rsid w:val="00881A02"/>
    <w:rsid w:val="00881F8B"/>
    <w:rsid w:val="00882044"/>
    <w:rsid w:val="008821F8"/>
    <w:rsid w:val="0088220F"/>
    <w:rsid w:val="00882436"/>
    <w:rsid w:val="008825A5"/>
    <w:rsid w:val="00882617"/>
    <w:rsid w:val="00882A1D"/>
    <w:rsid w:val="00882DC2"/>
    <w:rsid w:val="00882FC0"/>
    <w:rsid w:val="00883CAF"/>
    <w:rsid w:val="00883F76"/>
    <w:rsid w:val="00883FA8"/>
    <w:rsid w:val="008840BE"/>
    <w:rsid w:val="008842FF"/>
    <w:rsid w:val="00884303"/>
    <w:rsid w:val="008845F0"/>
    <w:rsid w:val="008848A1"/>
    <w:rsid w:val="00884B27"/>
    <w:rsid w:val="00884CD0"/>
    <w:rsid w:val="00884E65"/>
    <w:rsid w:val="00884F5F"/>
    <w:rsid w:val="008851EC"/>
    <w:rsid w:val="0088524F"/>
    <w:rsid w:val="008856E9"/>
    <w:rsid w:val="00885750"/>
    <w:rsid w:val="00885E1E"/>
    <w:rsid w:val="00885FC5"/>
    <w:rsid w:val="0088639A"/>
    <w:rsid w:val="00886405"/>
    <w:rsid w:val="00886A56"/>
    <w:rsid w:val="00886B41"/>
    <w:rsid w:val="00886B97"/>
    <w:rsid w:val="00886CEB"/>
    <w:rsid w:val="00886CF0"/>
    <w:rsid w:val="00886DB5"/>
    <w:rsid w:val="0088715A"/>
    <w:rsid w:val="008871C0"/>
    <w:rsid w:val="00887558"/>
    <w:rsid w:val="00887655"/>
    <w:rsid w:val="00887A21"/>
    <w:rsid w:val="00887B61"/>
    <w:rsid w:val="00890067"/>
    <w:rsid w:val="008907FB"/>
    <w:rsid w:val="008913F2"/>
    <w:rsid w:val="00891553"/>
    <w:rsid w:val="00891620"/>
    <w:rsid w:val="00891AD8"/>
    <w:rsid w:val="00891E09"/>
    <w:rsid w:val="00891EA0"/>
    <w:rsid w:val="0089215A"/>
    <w:rsid w:val="008922E8"/>
    <w:rsid w:val="008925EB"/>
    <w:rsid w:val="00892BB0"/>
    <w:rsid w:val="00892E12"/>
    <w:rsid w:val="00892E80"/>
    <w:rsid w:val="0089310E"/>
    <w:rsid w:val="0089324C"/>
    <w:rsid w:val="008938B6"/>
    <w:rsid w:val="00893D6B"/>
    <w:rsid w:val="00893E0E"/>
    <w:rsid w:val="00893F6C"/>
    <w:rsid w:val="008941E5"/>
    <w:rsid w:val="008944B9"/>
    <w:rsid w:val="00894606"/>
    <w:rsid w:val="008946FE"/>
    <w:rsid w:val="00894730"/>
    <w:rsid w:val="008947FA"/>
    <w:rsid w:val="00894A44"/>
    <w:rsid w:val="00894C75"/>
    <w:rsid w:val="00894DD3"/>
    <w:rsid w:val="00894DFA"/>
    <w:rsid w:val="00894E58"/>
    <w:rsid w:val="00894F05"/>
    <w:rsid w:val="00894F8F"/>
    <w:rsid w:val="0089501D"/>
    <w:rsid w:val="0089551D"/>
    <w:rsid w:val="00895662"/>
    <w:rsid w:val="00895706"/>
    <w:rsid w:val="00895714"/>
    <w:rsid w:val="00895782"/>
    <w:rsid w:val="00895852"/>
    <w:rsid w:val="00896310"/>
    <w:rsid w:val="00896355"/>
    <w:rsid w:val="008965C4"/>
    <w:rsid w:val="008966F6"/>
    <w:rsid w:val="008968C4"/>
    <w:rsid w:val="00896D2E"/>
    <w:rsid w:val="00896F3A"/>
    <w:rsid w:val="0089701D"/>
    <w:rsid w:val="008974C6"/>
    <w:rsid w:val="008974F0"/>
    <w:rsid w:val="0089765C"/>
    <w:rsid w:val="00897D0A"/>
    <w:rsid w:val="008A009A"/>
    <w:rsid w:val="008A0314"/>
    <w:rsid w:val="008A03CB"/>
    <w:rsid w:val="008A03F0"/>
    <w:rsid w:val="008A0461"/>
    <w:rsid w:val="008A04BF"/>
    <w:rsid w:val="008A069C"/>
    <w:rsid w:val="008A0A9C"/>
    <w:rsid w:val="008A13A5"/>
    <w:rsid w:val="008A170C"/>
    <w:rsid w:val="008A1737"/>
    <w:rsid w:val="008A1F27"/>
    <w:rsid w:val="008A24AF"/>
    <w:rsid w:val="008A266C"/>
    <w:rsid w:val="008A286F"/>
    <w:rsid w:val="008A300E"/>
    <w:rsid w:val="008A3072"/>
    <w:rsid w:val="008A3319"/>
    <w:rsid w:val="008A3425"/>
    <w:rsid w:val="008A34B8"/>
    <w:rsid w:val="008A363B"/>
    <w:rsid w:val="008A3649"/>
    <w:rsid w:val="008A36E5"/>
    <w:rsid w:val="008A3F9F"/>
    <w:rsid w:val="008A4350"/>
    <w:rsid w:val="008A4368"/>
    <w:rsid w:val="008A4391"/>
    <w:rsid w:val="008A444A"/>
    <w:rsid w:val="008A46BD"/>
    <w:rsid w:val="008A4944"/>
    <w:rsid w:val="008A49E5"/>
    <w:rsid w:val="008A4A2E"/>
    <w:rsid w:val="008A4E98"/>
    <w:rsid w:val="008A4ECE"/>
    <w:rsid w:val="008A562A"/>
    <w:rsid w:val="008A5E60"/>
    <w:rsid w:val="008A5E87"/>
    <w:rsid w:val="008A5FEF"/>
    <w:rsid w:val="008A69C3"/>
    <w:rsid w:val="008A6B97"/>
    <w:rsid w:val="008A6E28"/>
    <w:rsid w:val="008A6E57"/>
    <w:rsid w:val="008A740E"/>
    <w:rsid w:val="008A75C8"/>
    <w:rsid w:val="008A7BE0"/>
    <w:rsid w:val="008A7FC8"/>
    <w:rsid w:val="008B0051"/>
    <w:rsid w:val="008B04A9"/>
    <w:rsid w:val="008B056E"/>
    <w:rsid w:val="008B0C50"/>
    <w:rsid w:val="008B16BD"/>
    <w:rsid w:val="008B1B91"/>
    <w:rsid w:val="008B1DFC"/>
    <w:rsid w:val="008B20B3"/>
    <w:rsid w:val="008B2198"/>
    <w:rsid w:val="008B21FC"/>
    <w:rsid w:val="008B23CD"/>
    <w:rsid w:val="008B254D"/>
    <w:rsid w:val="008B2704"/>
    <w:rsid w:val="008B27D3"/>
    <w:rsid w:val="008B2FD7"/>
    <w:rsid w:val="008B30BB"/>
    <w:rsid w:val="008B3686"/>
    <w:rsid w:val="008B3A95"/>
    <w:rsid w:val="008B3E32"/>
    <w:rsid w:val="008B3F90"/>
    <w:rsid w:val="008B443B"/>
    <w:rsid w:val="008B4D1E"/>
    <w:rsid w:val="008B4E47"/>
    <w:rsid w:val="008B4EB8"/>
    <w:rsid w:val="008B513F"/>
    <w:rsid w:val="008B53BC"/>
    <w:rsid w:val="008B56DE"/>
    <w:rsid w:val="008B59D7"/>
    <w:rsid w:val="008B5AE6"/>
    <w:rsid w:val="008B5C8D"/>
    <w:rsid w:val="008B6234"/>
    <w:rsid w:val="008B62F5"/>
    <w:rsid w:val="008B638E"/>
    <w:rsid w:val="008B6714"/>
    <w:rsid w:val="008B6ADD"/>
    <w:rsid w:val="008B6CA6"/>
    <w:rsid w:val="008B6EA5"/>
    <w:rsid w:val="008B6F65"/>
    <w:rsid w:val="008B70CB"/>
    <w:rsid w:val="008B74DF"/>
    <w:rsid w:val="008B7572"/>
    <w:rsid w:val="008B7618"/>
    <w:rsid w:val="008B7734"/>
    <w:rsid w:val="008B78EE"/>
    <w:rsid w:val="008B7BF3"/>
    <w:rsid w:val="008B7D58"/>
    <w:rsid w:val="008B7F20"/>
    <w:rsid w:val="008C00B9"/>
    <w:rsid w:val="008C01B9"/>
    <w:rsid w:val="008C0372"/>
    <w:rsid w:val="008C03EC"/>
    <w:rsid w:val="008C07CB"/>
    <w:rsid w:val="008C0879"/>
    <w:rsid w:val="008C0B39"/>
    <w:rsid w:val="008C0BE8"/>
    <w:rsid w:val="008C1352"/>
    <w:rsid w:val="008C188F"/>
    <w:rsid w:val="008C20BE"/>
    <w:rsid w:val="008C2137"/>
    <w:rsid w:val="008C237B"/>
    <w:rsid w:val="008C23A6"/>
    <w:rsid w:val="008C2940"/>
    <w:rsid w:val="008C29A1"/>
    <w:rsid w:val="008C3330"/>
    <w:rsid w:val="008C353F"/>
    <w:rsid w:val="008C3974"/>
    <w:rsid w:val="008C3AFE"/>
    <w:rsid w:val="008C3BDE"/>
    <w:rsid w:val="008C3E7E"/>
    <w:rsid w:val="008C4001"/>
    <w:rsid w:val="008C411B"/>
    <w:rsid w:val="008C417B"/>
    <w:rsid w:val="008C43FB"/>
    <w:rsid w:val="008C44E3"/>
    <w:rsid w:val="008C4566"/>
    <w:rsid w:val="008C4914"/>
    <w:rsid w:val="008C4BBA"/>
    <w:rsid w:val="008C4C43"/>
    <w:rsid w:val="008C4C70"/>
    <w:rsid w:val="008C5259"/>
    <w:rsid w:val="008C54B9"/>
    <w:rsid w:val="008C596A"/>
    <w:rsid w:val="008C5BD7"/>
    <w:rsid w:val="008C5D73"/>
    <w:rsid w:val="008C60AA"/>
    <w:rsid w:val="008C60E7"/>
    <w:rsid w:val="008C6358"/>
    <w:rsid w:val="008C6438"/>
    <w:rsid w:val="008C643A"/>
    <w:rsid w:val="008C6538"/>
    <w:rsid w:val="008C6AD8"/>
    <w:rsid w:val="008C6B86"/>
    <w:rsid w:val="008C6C2C"/>
    <w:rsid w:val="008C75DA"/>
    <w:rsid w:val="008C771B"/>
    <w:rsid w:val="008C7784"/>
    <w:rsid w:val="008C7EAA"/>
    <w:rsid w:val="008D006A"/>
    <w:rsid w:val="008D05B1"/>
    <w:rsid w:val="008D0893"/>
    <w:rsid w:val="008D0958"/>
    <w:rsid w:val="008D097B"/>
    <w:rsid w:val="008D0A9A"/>
    <w:rsid w:val="008D0B47"/>
    <w:rsid w:val="008D0E4A"/>
    <w:rsid w:val="008D17B7"/>
    <w:rsid w:val="008D1A35"/>
    <w:rsid w:val="008D1A81"/>
    <w:rsid w:val="008D1B2C"/>
    <w:rsid w:val="008D22BF"/>
    <w:rsid w:val="008D282F"/>
    <w:rsid w:val="008D3401"/>
    <w:rsid w:val="008D340A"/>
    <w:rsid w:val="008D36C6"/>
    <w:rsid w:val="008D389D"/>
    <w:rsid w:val="008D3DAC"/>
    <w:rsid w:val="008D3E05"/>
    <w:rsid w:val="008D4053"/>
    <w:rsid w:val="008D4552"/>
    <w:rsid w:val="008D4BB5"/>
    <w:rsid w:val="008D4BE7"/>
    <w:rsid w:val="008D4EEC"/>
    <w:rsid w:val="008D5051"/>
    <w:rsid w:val="008D58AC"/>
    <w:rsid w:val="008D5ACA"/>
    <w:rsid w:val="008D5C88"/>
    <w:rsid w:val="008D6331"/>
    <w:rsid w:val="008D6B75"/>
    <w:rsid w:val="008D6BB6"/>
    <w:rsid w:val="008D716A"/>
    <w:rsid w:val="008D75E5"/>
    <w:rsid w:val="008D7678"/>
    <w:rsid w:val="008D7A72"/>
    <w:rsid w:val="008D7D96"/>
    <w:rsid w:val="008D7E47"/>
    <w:rsid w:val="008D7F6D"/>
    <w:rsid w:val="008E0767"/>
    <w:rsid w:val="008E0C45"/>
    <w:rsid w:val="008E0E11"/>
    <w:rsid w:val="008E112B"/>
    <w:rsid w:val="008E13FE"/>
    <w:rsid w:val="008E1728"/>
    <w:rsid w:val="008E1C32"/>
    <w:rsid w:val="008E1F95"/>
    <w:rsid w:val="008E22A6"/>
    <w:rsid w:val="008E2825"/>
    <w:rsid w:val="008E2927"/>
    <w:rsid w:val="008E296A"/>
    <w:rsid w:val="008E2CCC"/>
    <w:rsid w:val="008E2DFA"/>
    <w:rsid w:val="008E2E0A"/>
    <w:rsid w:val="008E3AAC"/>
    <w:rsid w:val="008E3B4F"/>
    <w:rsid w:val="008E3D53"/>
    <w:rsid w:val="008E3D92"/>
    <w:rsid w:val="008E40AC"/>
    <w:rsid w:val="008E41B4"/>
    <w:rsid w:val="008E4588"/>
    <w:rsid w:val="008E4AE6"/>
    <w:rsid w:val="008E4E70"/>
    <w:rsid w:val="008E4F09"/>
    <w:rsid w:val="008E5116"/>
    <w:rsid w:val="008E5A93"/>
    <w:rsid w:val="008E5D39"/>
    <w:rsid w:val="008E5D54"/>
    <w:rsid w:val="008E5E7A"/>
    <w:rsid w:val="008E5ED2"/>
    <w:rsid w:val="008E5F90"/>
    <w:rsid w:val="008E61EB"/>
    <w:rsid w:val="008E623B"/>
    <w:rsid w:val="008E6419"/>
    <w:rsid w:val="008E69ED"/>
    <w:rsid w:val="008E6A0D"/>
    <w:rsid w:val="008E6CC0"/>
    <w:rsid w:val="008E6FD2"/>
    <w:rsid w:val="008E7050"/>
    <w:rsid w:val="008E7521"/>
    <w:rsid w:val="008E7AD5"/>
    <w:rsid w:val="008E7C8E"/>
    <w:rsid w:val="008F0367"/>
    <w:rsid w:val="008F038C"/>
    <w:rsid w:val="008F099A"/>
    <w:rsid w:val="008F0D84"/>
    <w:rsid w:val="008F0D91"/>
    <w:rsid w:val="008F0DE5"/>
    <w:rsid w:val="008F0EBC"/>
    <w:rsid w:val="008F1054"/>
    <w:rsid w:val="008F12B7"/>
    <w:rsid w:val="008F1574"/>
    <w:rsid w:val="008F17A7"/>
    <w:rsid w:val="008F18A1"/>
    <w:rsid w:val="008F18F5"/>
    <w:rsid w:val="008F1B44"/>
    <w:rsid w:val="008F2068"/>
    <w:rsid w:val="008F2173"/>
    <w:rsid w:val="008F21D5"/>
    <w:rsid w:val="008F23FF"/>
    <w:rsid w:val="008F25A3"/>
    <w:rsid w:val="008F26B2"/>
    <w:rsid w:val="008F27D6"/>
    <w:rsid w:val="008F2949"/>
    <w:rsid w:val="008F2B84"/>
    <w:rsid w:val="008F2E5E"/>
    <w:rsid w:val="008F2FB3"/>
    <w:rsid w:val="008F2FB8"/>
    <w:rsid w:val="008F37D2"/>
    <w:rsid w:val="008F37D6"/>
    <w:rsid w:val="008F3B66"/>
    <w:rsid w:val="008F3BCD"/>
    <w:rsid w:val="008F3C1D"/>
    <w:rsid w:val="008F4210"/>
    <w:rsid w:val="008F4342"/>
    <w:rsid w:val="008F4435"/>
    <w:rsid w:val="008F47B1"/>
    <w:rsid w:val="008F48DB"/>
    <w:rsid w:val="008F4A0B"/>
    <w:rsid w:val="008F4B65"/>
    <w:rsid w:val="008F4B86"/>
    <w:rsid w:val="008F4C1F"/>
    <w:rsid w:val="008F4FC4"/>
    <w:rsid w:val="008F5640"/>
    <w:rsid w:val="008F58BD"/>
    <w:rsid w:val="008F598F"/>
    <w:rsid w:val="008F5B84"/>
    <w:rsid w:val="008F5C5D"/>
    <w:rsid w:val="008F5CDF"/>
    <w:rsid w:val="008F5DD4"/>
    <w:rsid w:val="008F5E61"/>
    <w:rsid w:val="008F5FFD"/>
    <w:rsid w:val="008F6067"/>
    <w:rsid w:val="008F61B2"/>
    <w:rsid w:val="008F63C0"/>
    <w:rsid w:val="008F6622"/>
    <w:rsid w:val="008F662D"/>
    <w:rsid w:val="008F687C"/>
    <w:rsid w:val="008F6A1A"/>
    <w:rsid w:val="008F70D2"/>
    <w:rsid w:val="008F71B3"/>
    <w:rsid w:val="008F75F0"/>
    <w:rsid w:val="008F7652"/>
    <w:rsid w:val="008F7721"/>
    <w:rsid w:val="008F79DB"/>
    <w:rsid w:val="009001CE"/>
    <w:rsid w:val="0090025E"/>
    <w:rsid w:val="00900767"/>
    <w:rsid w:val="00900783"/>
    <w:rsid w:val="0090085E"/>
    <w:rsid w:val="00900942"/>
    <w:rsid w:val="00900993"/>
    <w:rsid w:val="00900C07"/>
    <w:rsid w:val="009011F9"/>
    <w:rsid w:val="0090172D"/>
    <w:rsid w:val="00901B87"/>
    <w:rsid w:val="00901C36"/>
    <w:rsid w:val="00901EA4"/>
    <w:rsid w:val="009020D2"/>
    <w:rsid w:val="00902679"/>
    <w:rsid w:val="00902A05"/>
    <w:rsid w:val="00902ABA"/>
    <w:rsid w:val="0090313A"/>
    <w:rsid w:val="00903169"/>
    <w:rsid w:val="009032F4"/>
    <w:rsid w:val="00903492"/>
    <w:rsid w:val="00903696"/>
    <w:rsid w:val="00903969"/>
    <w:rsid w:val="009039FD"/>
    <w:rsid w:val="00903C87"/>
    <w:rsid w:val="00903D99"/>
    <w:rsid w:val="00903DE4"/>
    <w:rsid w:val="00904043"/>
    <w:rsid w:val="0090433F"/>
    <w:rsid w:val="009043B0"/>
    <w:rsid w:val="009044E7"/>
    <w:rsid w:val="00904B6B"/>
    <w:rsid w:val="00904F9B"/>
    <w:rsid w:val="00905430"/>
    <w:rsid w:val="009056C1"/>
    <w:rsid w:val="00905A7F"/>
    <w:rsid w:val="00905A99"/>
    <w:rsid w:val="00905FE7"/>
    <w:rsid w:val="00906054"/>
    <w:rsid w:val="00906358"/>
    <w:rsid w:val="00906399"/>
    <w:rsid w:val="0090644D"/>
    <w:rsid w:val="00906667"/>
    <w:rsid w:val="00906C0D"/>
    <w:rsid w:val="0090736F"/>
    <w:rsid w:val="009074F0"/>
    <w:rsid w:val="0090784B"/>
    <w:rsid w:val="00907C24"/>
    <w:rsid w:val="00907F0B"/>
    <w:rsid w:val="009100F3"/>
    <w:rsid w:val="0091012B"/>
    <w:rsid w:val="0091019F"/>
    <w:rsid w:val="00910273"/>
    <w:rsid w:val="009103F0"/>
    <w:rsid w:val="00910547"/>
    <w:rsid w:val="009109DD"/>
    <w:rsid w:val="00910CC4"/>
    <w:rsid w:val="00911108"/>
    <w:rsid w:val="0091143C"/>
    <w:rsid w:val="009117B7"/>
    <w:rsid w:val="00911842"/>
    <w:rsid w:val="009118F3"/>
    <w:rsid w:val="0091193B"/>
    <w:rsid w:val="00911AC9"/>
    <w:rsid w:val="00911B45"/>
    <w:rsid w:val="00911D14"/>
    <w:rsid w:val="009121B2"/>
    <w:rsid w:val="00912249"/>
    <w:rsid w:val="00912265"/>
    <w:rsid w:val="009123C7"/>
    <w:rsid w:val="009125A3"/>
    <w:rsid w:val="00912CBA"/>
    <w:rsid w:val="00912E98"/>
    <w:rsid w:val="00912FE3"/>
    <w:rsid w:val="00913168"/>
    <w:rsid w:val="00913631"/>
    <w:rsid w:val="00913927"/>
    <w:rsid w:val="0091394A"/>
    <w:rsid w:val="00913CD5"/>
    <w:rsid w:val="00913FD4"/>
    <w:rsid w:val="00914312"/>
    <w:rsid w:val="00914409"/>
    <w:rsid w:val="009145BA"/>
    <w:rsid w:val="0091475B"/>
    <w:rsid w:val="00914A59"/>
    <w:rsid w:val="00914B09"/>
    <w:rsid w:val="00914C6F"/>
    <w:rsid w:val="0091501D"/>
    <w:rsid w:val="009150D6"/>
    <w:rsid w:val="009151F3"/>
    <w:rsid w:val="00915670"/>
    <w:rsid w:val="0091569D"/>
    <w:rsid w:val="00915956"/>
    <w:rsid w:val="00915C84"/>
    <w:rsid w:val="009166F2"/>
    <w:rsid w:val="00916808"/>
    <w:rsid w:val="00916A7B"/>
    <w:rsid w:val="0091707E"/>
    <w:rsid w:val="009172A7"/>
    <w:rsid w:val="00917837"/>
    <w:rsid w:val="00917A8F"/>
    <w:rsid w:val="00917BF3"/>
    <w:rsid w:val="00917E4E"/>
    <w:rsid w:val="00920294"/>
    <w:rsid w:val="0092050E"/>
    <w:rsid w:val="0092052B"/>
    <w:rsid w:val="00920A66"/>
    <w:rsid w:val="00921199"/>
    <w:rsid w:val="0092121A"/>
    <w:rsid w:val="00921283"/>
    <w:rsid w:val="0092152D"/>
    <w:rsid w:val="009215DB"/>
    <w:rsid w:val="00921C77"/>
    <w:rsid w:val="00921E7B"/>
    <w:rsid w:val="00921EAE"/>
    <w:rsid w:val="0092247C"/>
    <w:rsid w:val="00922B18"/>
    <w:rsid w:val="009233D5"/>
    <w:rsid w:val="0092368A"/>
    <w:rsid w:val="00923725"/>
    <w:rsid w:val="0092395F"/>
    <w:rsid w:val="00923BE5"/>
    <w:rsid w:val="00923DF9"/>
    <w:rsid w:val="009240B7"/>
    <w:rsid w:val="00924154"/>
    <w:rsid w:val="0092430D"/>
    <w:rsid w:val="00924DCD"/>
    <w:rsid w:val="0092532F"/>
    <w:rsid w:val="00925441"/>
    <w:rsid w:val="00925475"/>
    <w:rsid w:val="00925796"/>
    <w:rsid w:val="009260F6"/>
    <w:rsid w:val="009262C9"/>
    <w:rsid w:val="009265A4"/>
    <w:rsid w:val="009268E0"/>
    <w:rsid w:val="00926983"/>
    <w:rsid w:val="00926B4A"/>
    <w:rsid w:val="0092751D"/>
    <w:rsid w:val="009279FF"/>
    <w:rsid w:val="00927C94"/>
    <w:rsid w:val="00927DF9"/>
    <w:rsid w:val="009301A2"/>
    <w:rsid w:val="00930E08"/>
    <w:rsid w:val="00931841"/>
    <w:rsid w:val="009318A3"/>
    <w:rsid w:val="00931F98"/>
    <w:rsid w:val="00932829"/>
    <w:rsid w:val="00932A16"/>
    <w:rsid w:val="00932EFA"/>
    <w:rsid w:val="0093307D"/>
    <w:rsid w:val="009334AB"/>
    <w:rsid w:val="00933784"/>
    <w:rsid w:val="009337F9"/>
    <w:rsid w:val="0093396D"/>
    <w:rsid w:val="009339ED"/>
    <w:rsid w:val="0093429D"/>
    <w:rsid w:val="0093440D"/>
    <w:rsid w:val="00934804"/>
    <w:rsid w:val="00934D60"/>
    <w:rsid w:val="00934DC9"/>
    <w:rsid w:val="009350B1"/>
    <w:rsid w:val="009353DB"/>
    <w:rsid w:val="009355A9"/>
    <w:rsid w:val="00935933"/>
    <w:rsid w:val="00936161"/>
    <w:rsid w:val="0093622B"/>
    <w:rsid w:val="00936258"/>
    <w:rsid w:val="0093634C"/>
    <w:rsid w:val="00936470"/>
    <w:rsid w:val="00936545"/>
    <w:rsid w:val="009368C1"/>
    <w:rsid w:val="0093715B"/>
    <w:rsid w:val="00937530"/>
    <w:rsid w:val="009377AA"/>
    <w:rsid w:val="009377C7"/>
    <w:rsid w:val="00937829"/>
    <w:rsid w:val="00937A79"/>
    <w:rsid w:val="00937C54"/>
    <w:rsid w:val="00937F3B"/>
    <w:rsid w:val="009402C4"/>
    <w:rsid w:val="00940620"/>
    <w:rsid w:val="0094087A"/>
    <w:rsid w:val="009409CF"/>
    <w:rsid w:val="009409F1"/>
    <w:rsid w:val="00940B5F"/>
    <w:rsid w:val="00940CE2"/>
    <w:rsid w:val="00941143"/>
    <w:rsid w:val="009415AB"/>
    <w:rsid w:val="00941787"/>
    <w:rsid w:val="009418F5"/>
    <w:rsid w:val="00941BD3"/>
    <w:rsid w:val="00941CD0"/>
    <w:rsid w:val="00941E24"/>
    <w:rsid w:val="0094204B"/>
    <w:rsid w:val="00942298"/>
    <w:rsid w:val="00942312"/>
    <w:rsid w:val="009427D9"/>
    <w:rsid w:val="00942A5A"/>
    <w:rsid w:val="00942ACF"/>
    <w:rsid w:val="009431E8"/>
    <w:rsid w:val="009434D3"/>
    <w:rsid w:val="0094394E"/>
    <w:rsid w:val="00943BC4"/>
    <w:rsid w:val="00943E29"/>
    <w:rsid w:val="00944028"/>
    <w:rsid w:val="0094409A"/>
    <w:rsid w:val="009441B3"/>
    <w:rsid w:val="009442B6"/>
    <w:rsid w:val="009443A4"/>
    <w:rsid w:val="009444DF"/>
    <w:rsid w:val="00944500"/>
    <w:rsid w:val="009447BA"/>
    <w:rsid w:val="00944CA7"/>
    <w:rsid w:val="00944EF6"/>
    <w:rsid w:val="00944F07"/>
    <w:rsid w:val="00944F7E"/>
    <w:rsid w:val="00944FDE"/>
    <w:rsid w:val="00944FE2"/>
    <w:rsid w:val="00945063"/>
    <w:rsid w:val="0094551A"/>
    <w:rsid w:val="00945804"/>
    <w:rsid w:val="009458F1"/>
    <w:rsid w:val="009459B9"/>
    <w:rsid w:val="00945BC1"/>
    <w:rsid w:val="00945E9E"/>
    <w:rsid w:val="009460A1"/>
    <w:rsid w:val="009460EA"/>
    <w:rsid w:val="00946456"/>
    <w:rsid w:val="00946996"/>
    <w:rsid w:val="00946997"/>
    <w:rsid w:val="00946BE0"/>
    <w:rsid w:val="00946CF8"/>
    <w:rsid w:val="00946FFB"/>
    <w:rsid w:val="00947058"/>
    <w:rsid w:val="009477CA"/>
    <w:rsid w:val="00947AE9"/>
    <w:rsid w:val="00947B70"/>
    <w:rsid w:val="00947C1C"/>
    <w:rsid w:val="00950021"/>
    <w:rsid w:val="009500E6"/>
    <w:rsid w:val="00950126"/>
    <w:rsid w:val="00950A75"/>
    <w:rsid w:val="00950F66"/>
    <w:rsid w:val="0095121F"/>
    <w:rsid w:val="009512AE"/>
    <w:rsid w:val="009512ED"/>
    <w:rsid w:val="00951369"/>
    <w:rsid w:val="00951B17"/>
    <w:rsid w:val="00951D0B"/>
    <w:rsid w:val="00951D9D"/>
    <w:rsid w:val="00951F17"/>
    <w:rsid w:val="009520DE"/>
    <w:rsid w:val="009521F4"/>
    <w:rsid w:val="00952318"/>
    <w:rsid w:val="009527C1"/>
    <w:rsid w:val="00952C6F"/>
    <w:rsid w:val="009532FD"/>
    <w:rsid w:val="00953D37"/>
    <w:rsid w:val="009542E6"/>
    <w:rsid w:val="009546A7"/>
    <w:rsid w:val="00954A54"/>
    <w:rsid w:val="00954B31"/>
    <w:rsid w:val="00954ECA"/>
    <w:rsid w:val="00954FD9"/>
    <w:rsid w:val="009550B2"/>
    <w:rsid w:val="0095534D"/>
    <w:rsid w:val="0095541C"/>
    <w:rsid w:val="00955438"/>
    <w:rsid w:val="00955576"/>
    <w:rsid w:val="00955AD9"/>
    <w:rsid w:val="00955B83"/>
    <w:rsid w:val="00955E8C"/>
    <w:rsid w:val="0095632E"/>
    <w:rsid w:val="0095634E"/>
    <w:rsid w:val="0095657D"/>
    <w:rsid w:val="00956B17"/>
    <w:rsid w:val="00956FFE"/>
    <w:rsid w:val="00957394"/>
    <w:rsid w:val="00957447"/>
    <w:rsid w:val="009575F8"/>
    <w:rsid w:val="0095778D"/>
    <w:rsid w:val="00957824"/>
    <w:rsid w:val="009578B2"/>
    <w:rsid w:val="009578DC"/>
    <w:rsid w:val="00957984"/>
    <w:rsid w:val="009579B4"/>
    <w:rsid w:val="00957D42"/>
    <w:rsid w:val="0096014A"/>
    <w:rsid w:val="0096030A"/>
    <w:rsid w:val="009603A8"/>
    <w:rsid w:val="009608B6"/>
    <w:rsid w:val="00960A04"/>
    <w:rsid w:val="00960A67"/>
    <w:rsid w:val="00960AFC"/>
    <w:rsid w:val="00960C2E"/>
    <w:rsid w:val="009610BB"/>
    <w:rsid w:val="009611A1"/>
    <w:rsid w:val="009613A8"/>
    <w:rsid w:val="0096156F"/>
    <w:rsid w:val="00961910"/>
    <w:rsid w:val="00961EAD"/>
    <w:rsid w:val="00961F67"/>
    <w:rsid w:val="00962018"/>
    <w:rsid w:val="009620B1"/>
    <w:rsid w:val="009623C6"/>
    <w:rsid w:val="009623D1"/>
    <w:rsid w:val="00962546"/>
    <w:rsid w:val="00962926"/>
    <w:rsid w:val="00962A09"/>
    <w:rsid w:val="00962B0D"/>
    <w:rsid w:val="00962B70"/>
    <w:rsid w:val="00962C3F"/>
    <w:rsid w:val="00962EC1"/>
    <w:rsid w:val="00963F08"/>
    <w:rsid w:val="009645DA"/>
    <w:rsid w:val="009645E3"/>
    <w:rsid w:val="009647AD"/>
    <w:rsid w:val="00964987"/>
    <w:rsid w:val="00964B79"/>
    <w:rsid w:val="00964C88"/>
    <w:rsid w:val="00964CAB"/>
    <w:rsid w:val="00964E76"/>
    <w:rsid w:val="00964F36"/>
    <w:rsid w:val="00965F7C"/>
    <w:rsid w:val="009661E9"/>
    <w:rsid w:val="00966296"/>
    <w:rsid w:val="009664D2"/>
    <w:rsid w:val="009665C2"/>
    <w:rsid w:val="00966A10"/>
    <w:rsid w:val="00966C65"/>
    <w:rsid w:val="00966E07"/>
    <w:rsid w:val="00966FF6"/>
    <w:rsid w:val="0096763D"/>
    <w:rsid w:val="00967A20"/>
    <w:rsid w:val="00967BF9"/>
    <w:rsid w:val="00967FA2"/>
    <w:rsid w:val="00967FB5"/>
    <w:rsid w:val="0097024D"/>
    <w:rsid w:val="00970509"/>
    <w:rsid w:val="0097076E"/>
    <w:rsid w:val="00970777"/>
    <w:rsid w:val="0097087F"/>
    <w:rsid w:val="009708D2"/>
    <w:rsid w:val="0097098E"/>
    <w:rsid w:val="009709F9"/>
    <w:rsid w:val="00970E2E"/>
    <w:rsid w:val="0097104B"/>
    <w:rsid w:val="00971208"/>
    <w:rsid w:val="00971501"/>
    <w:rsid w:val="00971A11"/>
    <w:rsid w:val="00971B60"/>
    <w:rsid w:val="00971F73"/>
    <w:rsid w:val="0097202D"/>
    <w:rsid w:val="00972177"/>
    <w:rsid w:val="00972950"/>
    <w:rsid w:val="00972B7E"/>
    <w:rsid w:val="00973078"/>
    <w:rsid w:val="0097309E"/>
    <w:rsid w:val="009737E8"/>
    <w:rsid w:val="00973AE2"/>
    <w:rsid w:val="00973EF2"/>
    <w:rsid w:val="00974118"/>
    <w:rsid w:val="00974232"/>
    <w:rsid w:val="009746EF"/>
    <w:rsid w:val="0097488D"/>
    <w:rsid w:val="00974A72"/>
    <w:rsid w:val="00974A8D"/>
    <w:rsid w:val="00974E1F"/>
    <w:rsid w:val="00974F5A"/>
    <w:rsid w:val="00974FBE"/>
    <w:rsid w:val="0097501E"/>
    <w:rsid w:val="009757AD"/>
    <w:rsid w:val="00975982"/>
    <w:rsid w:val="0097598F"/>
    <w:rsid w:val="00975B55"/>
    <w:rsid w:val="00975C65"/>
    <w:rsid w:val="009766C2"/>
    <w:rsid w:val="00976732"/>
    <w:rsid w:val="009767BF"/>
    <w:rsid w:val="00976BDA"/>
    <w:rsid w:val="009772B7"/>
    <w:rsid w:val="009774A0"/>
    <w:rsid w:val="00977B6C"/>
    <w:rsid w:val="009801B3"/>
    <w:rsid w:val="0098049F"/>
    <w:rsid w:val="0098052F"/>
    <w:rsid w:val="009806A6"/>
    <w:rsid w:val="00980881"/>
    <w:rsid w:val="00980A12"/>
    <w:rsid w:val="00980D55"/>
    <w:rsid w:val="00981469"/>
    <w:rsid w:val="00981E62"/>
    <w:rsid w:val="00982A05"/>
    <w:rsid w:val="00982B8E"/>
    <w:rsid w:val="00983461"/>
    <w:rsid w:val="00983547"/>
    <w:rsid w:val="009836BD"/>
    <w:rsid w:val="0098388B"/>
    <w:rsid w:val="00984026"/>
    <w:rsid w:val="0098439C"/>
    <w:rsid w:val="0098459F"/>
    <w:rsid w:val="00984A4D"/>
    <w:rsid w:val="00985137"/>
    <w:rsid w:val="00985250"/>
    <w:rsid w:val="009854B8"/>
    <w:rsid w:val="009855FA"/>
    <w:rsid w:val="00985AC0"/>
    <w:rsid w:val="0098608C"/>
    <w:rsid w:val="00986345"/>
    <w:rsid w:val="009866B2"/>
    <w:rsid w:val="009867D2"/>
    <w:rsid w:val="0098695B"/>
    <w:rsid w:val="00986C6F"/>
    <w:rsid w:val="00986E23"/>
    <w:rsid w:val="00987158"/>
    <w:rsid w:val="00987405"/>
    <w:rsid w:val="00987434"/>
    <w:rsid w:val="009876C3"/>
    <w:rsid w:val="009876CE"/>
    <w:rsid w:val="00987704"/>
    <w:rsid w:val="0098781F"/>
    <w:rsid w:val="00987A74"/>
    <w:rsid w:val="00987CC2"/>
    <w:rsid w:val="00987FAF"/>
    <w:rsid w:val="00987FCA"/>
    <w:rsid w:val="0099039D"/>
    <w:rsid w:val="00990412"/>
    <w:rsid w:val="009908EC"/>
    <w:rsid w:val="009909BF"/>
    <w:rsid w:val="00990AEB"/>
    <w:rsid w:val="00990B1B"/>
    <w:rsid w:val="00990B40"/>
    <w:rsid w:val="00990C90"/>
    <w:rsid w:val="00990CBE"/>
    <w:rsid w:val="00990EA8"/>
    <w:rsid w:val="00990EEE"/>
    <w:rsid w:val="00991478"/>
    <w:rsid w:val="00991930"/>
    <w:rsid w:val="0099199E"/>
    <w:rsid w:val="00991D49"/>
    <w:rsid w:val="00991F06"/>
    <w:rsid w:val="00991F31"/>
    <w:rsid w:val="00991FD2"/>
    <w:rsid w:val="00992542"/>
    <w:rsid w:val="00992962"/>
    <w:rsid w:val="00992A8A"/>
    <w:rsid w:val="00992B32"/>
    <w:rsid w:val="00992F4F"/>
    <w:rsid w:val="00993162"/>
    <w:rsid w:val="009933D8"/>
    <w:rsid w:val="00993649"/>
    <w:rsid w:val="00993752"/>
    <w:rsid w:val="009937E2"/>
    <w:rsid w:val="00993C73"/>
    <w:rsid w:val="00993CA3"/>
    <w:rsid w:val="009940DD"/>
    <w:rsid w:val="0099427D"/>
    <w:rsid w:val="009945B1"/>
    <w:rsid w:val="009945C6"/>
    <w:rsid w:val="00994906"/>
    <w:rsid w:val="00994AE4"/>
    <w:rsid w:val="00994B9B"/>
    <w:rsid w:val="009952B4"/>
    <w:rsid w:val="009952FF"/>
    <w:rsid w:val="0099536E"/>
    <w:rsid w:val="0099563A"/>
    <w:rsid w:val="009957E4"/>
    <w:rsid w:val="00995D4B"/>
    <w:rsid w:val="00995E09"/>
    <w:rsid w:val="00995E95"/>
    <w:rsid w:val="00995F32"/>
    <w:rsid w:val="0099611D"/>
    <w:rsid w:val="00996633"/>
    <w:rsid w:val="0099672E"/>
    <w:rsid w:val="00996735"/>
    <w:rsid w:val="009968B2"/>
    <w:rsid w:val="00996A42"/>
    <w:rsid w:val="00996BF9"/>
    <w:rsid w:val="00996CBB"/>
    <w:rsid w:val="009974E3"/>
    <w:rsid w:val="009974FE"/>
    <w:rsid w:val="009977BC"/>
    <w:rsid w:val="009979EE"/>
    <w:rsid w:val="00997B57"/>
    <w:rsid w:val="00997D92"/>
    <w:rsid w:val="00997E1A"/>
    <w:rsid w:val="00997FE7"/>
    <w:rsid w:val="009A002F"/>
    <w:rsid w:val="009A00EC"/>
    <w:rsid w:val="009A04F4"/>
    <w:rsid w:val="009A07AF"/>
    <w:rsid w:val="009A07E3"/>
    <w:rsid w:val="009A0A66"/>
    <w:rsid w:val="009A0BB9"/>
    <w:rsid w:val="009A0CA3"/>
    <w:rsid w:val="009A1188"/>
    <w:rsid w:val="009A12C0"/>
    <w:rsid w:val="009A1332"/>
    <w:rsid w:val="009A1419"/>
    <w:rsid w:val="009A1A77"/>
    <w:rsid w:val="009A1CF4"/>
    <w:rsid w:val="009A1DCB"/>
    <w:rsid w:val="009A1EBA"/>
    <w:rsid w:val="009A20FA"/>
    <w:rsid w:val="009A29E4"/>
    <w:rsid w:val="009A2C50"/>
    <w:rsid w:val="009A2E4A"/>
    <w:rsid w:val="009A304A"/>
    <w:rsid w:val="009A325B"/>
    <w:rsid w:val="009A39D7"/>
    <w:rsid w:val="009A3DBD"/>
    <w:rsid w:val="009A3E52"/>
    <w:rsid w:val="009A3E66"/>
    <w:rsid w:val="009A3FB4"/>
    <w:rsid w:val="009A439B"/>
    <w:rsid w:val="009A472F"/>
    <w:rsid w:val="009A473A"/>
    <w:rsid w:val="009A483C"/>
    <w:rsid w:val="009A4CDA"/>
    <w:rsid w:val="009A579A"/>
    <w:rsid w:val="009A59AF"/>
    <w:rsid w:val="009A5B4F"/>
    <w:rsid w:val="009A5F0A"/>
    <w:rsid w:val="009A60AF"/>
    <w:rsid w:val="009A6120"/>
    <w:rsid w:val="009A61AC"/>
    <w:rsid w:val="009A65BC"/>
    <w:rsid w:val="009A6C5A"/>
    <w:rsid w:val="009A6F40"/>
    <w:rsid w:val="009A701C"/>
    <w:rsid w:val="009A7944"/>
    <w:rsid w:val="009A7BF7"/>
    <w:rsid w:val="009A7E8C"/>
    <w:rsid w:val="009A7F59"/>
    <w:rsid w:val="009A7FC1"/>
    <w:rsid w:val="009B008F"/>
    <w:rsid w:val="009B063E"/>
    <w:rsid w:val="009B06CC"/>
    <w:rsid w:val="009B08E7"/>
    <w:rsid w:val="009B09E8"/>
    <w:rsid w:val="009B0B01"/>
    <w:rsid w:val="009B18AF"/>
    <w:rsid w:val="009B191C"/>
    <w:rsid w:val="009B1BD5"/>
    <w:rsid w:val="009B1C59"/>
    <w:rsid w:val="009B1FCF"/>
    <w:rsid w:val="009B28C7"/>
    <w:rsid w:val="009B2BBA"/>
    <w:rsid w:val="009B2EB1"/>
    <w:rsid w:val="009B2F64"/>
    <w:rsid w:val="009B312E"/>
    <w:rsid w:val="009B312F"/>
    <w:rsid w:val="009B32E9"/>
    <w:rsid w:val="009B33BE"/>
    <w:rsid w:val="009B363C"/>
    <w:rsid w:val="009B364C"/>
    <w:rsid w:val="009B3943"/>
    <w:rsid w:val="009B3F3C"/>
    <w:rsid w:val="009B4124"/>
    <w:rsid w:val="009B41F5"/>
    <w:rsid w:val="009B4295"/>
    <w:rsid w:val="009B430D"/>
    <w:rsid w:val="009B4810"/>
    <w:rsid w:val="009B49FF"/>
    <w:rsid w:val="009B4DD5"/>
    <w:rsid w:val="009B5748"/>
    <w:rsid w:val="009B580A"/>
    <w:rsid w:val="009B5E27"/>
    <w:rsid w:val="009B5E83"/>
    <w:rsid w:val="009B6004"/>
    <w:rsid w:val="009B6044"/>
    <w:rsid w:val="009B626C"/>
    <w:rsid w:val="009B6318"/>
    <w:rsid w:val="009B68E1"/>
    <w:rsid w:val="009B6A24"/>
    <w:rsid w:val="009B70E9"/>
    <w:rsid w:val="009B7136"/>
    <w:rsid w:val="009B7342"/>
    <w:rsid w:val="009B73A1"/>
    <w:rsid w:val="009B742F"/>
    <w:rsid w:val="009B74E8"/>
    <w:rsid w:val="009B7591"/>
    <w:rsid w:val="009B769F"/>
    <w:rsid w:val="009B7851"/>
    <w:rsid w:val="009B7A2B"/>
    <w:rsid w:val="009B7CF9"/>
    <w:rsid w:val="009C007E"/>
    <w:rsid w:val="009C00B6"/>
    <w:rsid w:val="009C00EC"/>
    <w:rsid w:val="009C036B"/>
    <w:rsid w:val="009C0763"/>
    <w:rsid w:val="009C081B"/>
    <w:rsid w:val="009C0F42"/>
    <w:rsid w:val="009C0F64"/>
    <w:rsid w:val="009C1372"/>
    <w:rsid w:val="009C1449"/>
    <w:rsid w:val="009C1923"/>
    <w:rsid w:val="009C1957"/>
    <w:rsid w:val="009C1984"/>
    <w:rsid w:val="009C1ABD"/>
    <w:rsid w:val="009C1B1C"/>
    <w:rsid w:val="009C1B32"/>
    <w:rsid w:val="009C1B3C"/>
    <w:rsid w:val="009C1CA6"/>
    <w:rsid w:val="009C1F21"/>
    <w:rsid w:val="009C24C7"/>
    <w:rsid w:val="009C2749"/>
    <w:rsid w:val="009C2992"/>
    <w:rsid w:val="009C2BE2"/>
    <w:rsid w:val="009C2EF7"/>
    <w:rsid w:val="009C3029"/>
    <w:rsid w:val="009C3293"/>
    <w:rsid w:val="009C381B"/>
    <w:rsid w:val="009C3833"/>
    <w:rsid w:val="009C3BD3"/>
    <w:rsid w:val="009C3FBC"/>
    <w:rsid w:val="009C4010"/>
    <w:rsid w:val="009C428D"/>
    <w:rsid w:val="009C43E8"/>
    <w:rsid w:val="009C4515"/>
    <w:rsid w:val="009C4AB6"/>
    <w:rsid w:val="009C4D3B"/>
    <w:rsid w:val="009C509A"/>
    <w:rsid w:val="009C511C"/>
    <w:rsid w:val="009C5199"/>
    <w:rsid w:val="009C52FD"/>
    <w:rsid w:val="009C5347"/>
    <w:rsid w:val="009C59E1"/>
    <w:rsid w:val="009C59F8"/>
    <w:rsid w:val="009C60D7"/>
    <w:rsid w:val="009C6182"/>
    <w:rsid w:val="009C6444"/>
    <w:rsid w:val="009C68A4"/>
    <w:rsid w:val="009C6A45"/>
    <w:rsid w:val="009C6E43"/>
    <w:rsid w:val="009C718E"/>
    <w:rsid w:val="009C75B3"/>
    <w:rsid w:val="009C7852"/>
    <w:rsid w:val="009C78C4"/>
    <w:rsid w:val="009C7AAF"/>
    <w:rsid w:val="009C7BEE"/>
    <w:rsid w:val="009D00D6"/>
    <w:rsid w:val="009D05F7"/>
    <w:rsid w:val="009D08E4"/>
    <w:rsid w:val="009D0AD3"/>
    <w:rsid w:val="009D0B1E"/>
    <w:rsid w:val="009D0E7F"/>
    <w:rsid w:val="009D0F3C"/>
    <w:rsid w:val="009D0FDC"/>
    <w:rsid w:val="009D1038"/>
    <w:rsid w:val="009D1D0C"/>
    <w:rsid w:val="009D1F32"/>
    <w:rsid w:val="009D1FC8"/>
    <w:rsid w:val="009D2116"/>
    <w:rsid w:val="009D232D"/>
    <w:rsid w:val="009D2345"/>
    <w:rsid w:val="009D2392"/>
    <w:rsid w:val="009D2525"/>
    <w:rsid w:val="009D2893"/>
    <w:rsid w:val="009D2AF7"/>
    <w:rsid w:val="009D2B00"/>
    <w:rsid w:val="009D2C38"/>
    <w:rsid w:val="009D2C60"/>
    <w:rsid w:val="009D2F44"/>
    <w:rsid w:val="009D2F56"/>
    <w:rsid w:val="009D3056"/>
    <w:rsid w:val="009D3152"/>
    <w:rsid w:val="009D31A2"/>
    <w:rsid w:val="009D3ADA"/>
    <w:rsid w:val="009D3CE0"/>
    <w:rsid w:val="009D3E87"/>
    <w:rsid w:val="009D41BA"/>
    <w:rsid w:val="009D4320"/>
    <w:rsid w:val="009D4480"/>
    <w:rsid w:val="009D45DC"/>
    <w:rsid w:val="009D49C9"/>
    <w:rsid w:val="009D4BD4"/>
    <w:rsid w:val="009D4C15"/>
    <w:rsid w:val="009D4C60"/>
    <w:rsid w:val="009D4C7C"/>
    <w:rsid w:val="009D4F22"/>
    <w:rsid w:val="009D529A"/>
    <w:rsid w:val="009D6020"/>
    <w:rsid w:val="009D61C2"/>
    <w:rsid w:val="009D61D7"/>
    <w:rsid w:val="009D641A"/>
    <w:rsid w:val="009D6559"/>
    <w:rsid w:val="009D6646"/>
    <w:rsid w:val="009D664B"/>
    <w:rsid w:val="009D69B6"/>
    <w:rsid w:val="009D703E"/>
    <w:rsid w:val="009D728B"/>
    <w:rsid w:val="009D74A9"/>
    <w:rsid w:val="009D786F"/>
    <w:rsid w:val="009D7C91"/>
    <w:rsid w:val="009D7F34"/>
    <w:rsid w:val="009D7F8A"/>
    <w:rsid w:val="009E01A8"/>
    <w:rsid w:val="009E0225"/>
    <w:rsid w:val="009E03AC"/>
    <w:rsid w:val="009E06C6"/>
    <w:rsid w:val="009E0864"/>
    <w:rsid w:val="009E096F"/>
    <w:rsid w:val="009E0DE6"/>
    <w:rsid w:val="009E0EEA"/>
    <w:rsid w:val="009E1358"/>
    <w:rsid w:val="009E13CE"/>
    <w:rsid w:val="009E13DE"/>
    <w:rsid w:val="009E15CF"/>
    <w:rsid w:val="009E188F"/>
    <w:rsid w:val="009E199E"/>
    <w:rsid w:val="009E19C7"/>
    <w:rsid w:val="009E1B75"/>
    <w:rsid w:val="009E1D8D"/>
    <w:rsid w:val="009E20D1"/>
    <w:rsid w:val="009E24E3"/>
    <w:rsid w:val="009E2547"/>
    <w:rsid w:val="009E26D5"/>
    <w:rsid w:val="009E278D"/>
    <w:rsid w:val="009E2D30"/>
    <w:rsid w:val="009E2EA3"/>
    <w:rsid w:val="009E3032"/>
    <w:rsid w:val="009E3035"/>
    <w:rsid w:val="009E342F"/>
    <w:rsid w:val="009E360E"/>
    <w:rsid w:val="009E37F5"/>
    <w:rsid w:val="009E38F3"/>
    <w:rsid w:val="009E392C"/>
    <w:rsid w:val="009E3E9D"/>
    <w:rsid w:val="009E3F1B"/>
    <w:rsid w:val="009E3FAC"/>
    <w:rsid w:val="009E4122"/>
    <w:rsid w:val="009E415A"/>
    <w:rsid w:val="009E450A"/>
    <w:rsid w:val="009E50B3"/>
    <w:rsid w:val="009E5120"/>
    <w:rsid w:val="009E5172"/>
    <w:rsid w:val="009E56B6"/>
    <w:rsid w:val="009E5D5C"/>
    <w:rsid w:val="009E5D9D"/>
    <w:rsid w:val="009E6077"/>
    <w:rsid w:val="009E60C3"/>
    <w:rsid w:val="009E61FC"/>
    <w:rsid w:val="009E6716"/>
    <w:rsid w:val="009E69A7"/>
    <w:rsid w:val="009E6A89"/>
    <w:rsid w:val="009E6E20"/>
    <w:rsid w:val="009E6F9F"/>
    <w:rsid w:val="009E7447"/>
    <w:rsid w:val="009E74EA"/>
    <w:rsid w:val="009E7589"/>
    <w:rsid w:val="009E78BA"/>
    <w:rsid w:val="009E795F"/>
    <w:rsid w:val="009E7F22"/>
    <w:rsid w:val="009F05F0"/>
    <w:rsid w:val="009F0F6B"/>
    <w:rsid w:val="009F130F"/>
    <w:rsid w:val="009F13B3"/>
    <w:rsid w:val="009F1A8A"/>
    <w:rsid w:val="009F1CCE"/>
    <w:rsid w:val="009F1F1E"/>
    <w:rsid w:val="009F2034"/>
    <w:rsid w:val="009F27A3"/>
    <w:rsid w:val="009F28F3"/>
    <w:rsid w:val="009F29D5"/>
    <w:rsid w:val="009F2F01"/>
    <w:rsid w:val="009F3037"/>
    <w:rsid w:val="009F33AD"/>
    <w:rsid w:val="009F37D6"/>
    <w:rsid w:val="009F38A7"/>
    <w:rsid w:val="009F398C"/>
    <w:rsid w:val="009F3A06"/>
    <w:rsid w:val="009F3ABE"/>
    <w:rsid w:val="009F4218"/>
    <w:rsid w:val="009F4777"/>
    <w:rsid w:val="009F491E"/>
    <w:rsid w:val="009F4A86"/>
    <w:rsid w:val="009F4D59"/>
    <w:rsid w:val="009F5094"/>
    <w:rsid w:val="009F52CB"/>
    <w:rsid w:val="009F5305"/>
    <w:rsid w:val="009F536A"/>
    <w:rsid w:val="009F53B3"/>
    <w:rsid w:val="009F643B"/>
    <w:rsid w:val="009F65CC"/>
    <w:rsid w:val="009F6964"/>
    <w:rsid w:val="009F6FB6"/>
    <w:rsid w:val="009F7539"/>
    <w:rsid w:val="009F7638"/>
    <w:rsid w:val="009F7853"/>
    <w:rsid w:val="009F7ACC"/>
    <w:rsid w:val="009F7C8B"/>
    <w:rsid w:val="00A000EB"/>
    <w:rsid w:val="00A004D4"/>
    <w:rsid w:val="00A0082E"/>
    <w:rsid w:val="00A00A85"/>
    <w:rsid w:val="00A00E51"/>
    <w:rsid w:val="00A00F25"/>
    <w:rsid w:val="00A00FFB"/>
    <w:rsid w:val="00A0136E"/>
    <w:rsid w:val="00A01427"/>
    <w:rsid w:val="00A01514"/>
    <w:rsid w:val="00A022ED"/>
    <w:rsid w:val="00A0237C"/>
    <w:rsid w:val="00A02510"/>
    <w:rsid w:val="00A02523"/>
    <w:rsid w:val="00A026A8"/>
    <w:rsid w:val="00A02A0C"/>
    <w:rsid w:val="00A02AEE"/>
    <w:rsid w:val="00A02F33"/>
    <w:rsid w:val="00A03406"/>
    <w:rsid w:val="00A03E57"/>
    <w:rsid w:val="00A03EEB"/>
    <w:rsid w:val="00A03F1D"/>
    <w:rsid w:val="00A04088"/>
    <w:rsid w:val="00A04200"/>
    <w:rsid w:val="00A0431A"/>
    <w:rsid w:val="00A043D6"/>
    <w:rsid w:val="00A045D3"/>
    <w:rsid w:val="00A047DB"/>
    <w:rsid w:val="00A0532D"/>
    <w:rsid w:val="00A05BAC"/>
    <w:rsid w:val="00A06171"/>
    <w:rsid w:val="00A062F5"/>
    <w:rsid w:val="00A06969"/>
    <w:rsid w:val="00A069CE"/>
    <w:rsid w:val="00A06DE6"/>
    <w:rsid w:val="00A06E7F"/>
    <w:rsid w:val="00A0710A"/>
    <w:rsid w:val="00A07432"/>
    <w:rsid w:val="00A07465"/>
    <w:rsid w:val="00A074BF"/>
    <w:rsid w:val="00A07579"/>
    <w:rsid w:val="00A0788E"/>
    <w:rsid w:val="00A078F7"/>
    <w:rsid w:val="00A079F9"/>
    <w:rsid w:val="00A07BED"/>
    <w:rsid w:val="00A1001F"/>
    <w:rsid w:val="00A1021B"/>
    <w:rsid w:val="00A1034F"/>
    <w:rsid w:val="00A10910"/>
    <w:rsid w:val="00A10912"/>
    <w:rsid w:val="00A109B8"/>
    <w:rsid w:val="00A10B85"/>
    <w:rsid w:val="00A111B2"/>
    <w:rsid w:val="00A11706"/>
    <w:rsid w:val="00A11720"/>
    <w:rsid w:val="00A11C50"/>
    <w:rsid w:val="00A11D03"/>
    <w:rsid w:val="00A11D70"/>
    <w:rsid w:val="00A11E1B"/>
    <w:rsid w:val="00A11E20"/>
    <w:rsid w:val="00A11F7B"/>
    <w:rsid w:val="00A12305"/>
    <w:rsid w:val="00A1238D"/>
    <w:rsid w:val="00A124EF"/>
    <w:rsid w:val="00A12724"/>
    <w:rsid w:val="00A12DA4"/>
    <w:rsid w:val="00A1347C"/>
    <w:rsid w:val="00A13EC6"/>
    <w:rsid w:val="00A13F25"/>
    <w:rsid w:val="00A13FAC"/>
    <w:rsid w:val="00A141C0"/>
    <w:rsid w:val="00A14556"/>
    <w:rsid w:val="00A14585"/>
    <w:rsid w:val="00A147A2"/>
    <w:rsid w:val="00A148E5"/>
    <w:rsid w:val="00A14CF4"/>
    <w:rsid w:val="00A14D63"/>
    <w:rsid w:val="00A15027"/>
    <w:rsid w:val="00A150EE"/>
    <w:rsid w:val="00A15488"/>
    <w:rsid w:val="00A158D2"/>
    <w:rsid w:val="00A158E3"/>
    <w:rsid w:val="00A162AB"/>
    <w:rsid w:val="00A163BC"/>
    <w:rsid w:val="00A16502"/>
    <w:rsid w:val="00A1657B"/>
    <w:rsid w:val="00A16A94"/>
    <w:rsid w:val="00A16A9E"/>
    <w:rsid w:val="00A16B87"/>
    <w:rsid w:val="00A16B88"/>
    <w:rsid w:val="00A16F07"/>
    <w:rsid w:val="00A16FAB"/>
    <w:rsid w:val="00A17020"/>
    <w:rsid w:val="00A17776"/>
    <w:rsid w:val="00A17833"/>
    <w:rsid w:val="00A17916"/>
    <w:rsid w:val="00A17A19"/>
    <w:rsid w:val="00A17CF8"/>
    <w:rsid w:val="00A17E3F"/>
    <w:rsid w:val="00A200CA"/>
    <w:rsid w:val="00A20293"/>
    <w:rsid w:val="00A204FA"/>
    <w:rsid w:val="00A20650"/>
    <w:rsid w:val="00A21306"/>
    <w:rsid w:val="00A2142B"/>
    <w:rsid w:val="00A215C9"/>
    <w:rsid w:val="00A218F9"/>
    <w:rsid w:val="00A2190B"/>
    <w:rsid w:val="00A21B32"/>
    <w:rsid w:val="00A21B93"/>
    <w:rsid w:val="00A21C32"/>
    <w:rsid w:val="00A21F04"/>
    <w:rsid w:val="00A22183"/>
    <w:rsid w:val="00A221D3"/>
    <w:rsid w:val="00A22318"/>
    <w:rsid w:val="00A22A1D"/>
    <w:rsid w:val="00A22CF3"/>
    <w:rsid w:val="00A22D7C"/>
    <w:rsid w:val="00A23203"/>
    <w:rsid w:val="00A2342F"/>
    <w:rsid w:val="00A236D3"/>
    <w:rsid w:val="00A23D82"/>
    <w:rsid w:val="00A23DB8"/>
    <w:rsid w:val="00A23F31"/>
    <w:rsid w:val="00A23F36"/>
    <w:rsid w:val="00A23FEF"/>
    <w:rsid w:val="00A24132"/>
    <w:rsid w:val="00A2491C"/>
    <w:rsid w:val="00A24E63"/>
    <w:rsid w:val="00A24F9A"/>
    <w:rsid w:val="00A25222"/>
    <w:rsid w:val="00A25299"/>
    <w:rsid w:val="00A25393"/>
    <w:rsid w:val="00A25549"/>
    <w:rsid w:val="00A25CF4"/>
    <w:rsid w:val="00A25DF6"/>
    <w:rsid w:val="00A25ED9"/>
    <w:rsid w:val="00A26119"/>
    <w:rsid w:val="00A2623E"/>
    <w:rsid w:val="00A2628D"/>
    <w:rsid w:val="00A265C0"/>
    <w:rsid w:val="00A268F7"/>
    <w:rsid w:val="00A26908"/>
    <w:rsid w:val="00A26A51"/>
    <w:rsid w:val="00A271BE"/>
    <w:rsid w:val="00A273F1"/>
    <w:rsid w:val="00A274B0"/>
    <w:rsid w:val="00A2762A"/>
    <w:rsid w:val="00A2766F"/>
    <w:rsid w:val="00A276B9"/>
    <w:rsid w:val="00A27711"/>
    <w:rsid w:val="00A27C2D"/>
    <w:rsid w:val="00A27D4E"/>
    <w:rsid w:val="00A27DA8"/>
    <w:rsid w:val="00A27F35"/>
    <w:rsid w:val="00A3074F"/>
    <w:rsid w:val="00A30768"/>
    <w:rsid w:val="00A308BF"/>
    <w:rsid w:val="00A30AA4"/>
    <w:rsid w:val="00A30B00"/>
    <w:rsid w:val="00A30B6E"/>
    <w:rsid w:val="00A30C88"/>
    <w:rsid w:val="00A310E6"/>
    <w:rsid w:val="00A31426"/>
    <w:rsid w:val="00A3152D"/>
    <w:rsid w:val="00A3164C"/>
    <w:rsid w:val="00A31862"/>
    <w:rsid w:val="00A31B23"/>
    <w:rsid w:val="00A31B8D"/>
    <w:rsid w:val="00A31E6A"/>
    <w:rsid w:val="00A32468"/>
    <w:rsid w:val="00A32958"/>
    <w:rsid w:val="00A32FFA"/>
    <w:rsid w:val="00A33310"/>
    <w:rsid w:val="00A334A0"/>
    <w:rsid w:val="00A33B81"/>
    <w:rsid w:val="00A33BBD"/>
    <w:rsid w:val="00A33D95"/>
    <w:rsid w:val="00A33DFB"/>
    <w:rsid w:val="00A33E8E"/>
    <w:rsid w:val="00A33F1C"/>
    <w:rsid w:val="00A3432C"/>
    <w:rsid w:val="00A34366"/>
    <w:rsid w:val="00A346A4"/>
    <w:rsid w:val="00A348C5"/>
    <w:rsid w:val="00A34B52"/>
    <w:rsid w:val="00A34CC7"/>
    <w:rsid w:val="00A350BD"/>
    <w:rsid w:val="00A35160"/>
    <w:rsid w:val="00A3562E"/>
    <w:rsid w:val="00A35798"/>
    <w:rsid w:val="00A357E4"/>
    <w:rsid w:val="00A357EC"/>
    <w:rsid w:val="00A35904"/>
    <w:rsid w:val="00A35D5D"/>
    <w:rsid w:val="00A35F44"/>
    <w:rsid w:val="00A36048"/>
    <w:rsid w:val="00A36504"/>
    <w:rsid w:val="00A3652D"/>
    <w:rsid w:val="00A3675E"/>
    <w:rsid w:val="00A36982"/>
    <w:rsid w:val="00A36A31"/>
    <w:rsid w:val="00A36C67"/>
    <w:rsid w:val="00A37181"/>
    <w:rsid w:val="00A3765E"/>
    <w:rsid w:val="00A37809"/>
    <w:rsid w:val="00A3795D"/>
    <w:rsid w:val="00A37BF8"/>
    <w:rsid w:val="00A37C3B"/>
    <w:rsid w:val="00A37D42"/>
    <w:rsid w:val="00A37EC2"/>
    <w:rsid w:val="00A40370"/>
    <w:rsid w:val="00A40558"/>
    <w:rsid w:val="00A407B4"/>
    <w:rsid w:val="00A40B72"/>
    <w:rsid w:val="00A411DA"/>
    <w:rsid w:val="00A415DE"/>
    <w:rsid w:val="00A41608"/>
    <w:rsid w:val="00A4164D"/>
    <w:rsid w:val="00A41756"/>
    <w:rsid w:val="00A4187C"/>
    <w:rsid w:val="00A41B83"/>
    <w:rsid w:val="00A41E06"/>
    <w:rsid w:val="00A41F5F"/>
    <w:rsid w:val="00A42005"/>
    <w:rsid w:val="00A4243E"/>
    <w:rsid w:val="00A42479"/>
    <w:rsid w:val="00A42CFF"/>
    <w:rsid w:val="00A42EA8"/>
    <w:rsid w:val="00A42F26"/>
    <w:rsid w:val="00A43338"/>
    <w:rsid w:val="00A433DC"/>
    <w:rsid w:val="00A4392B"/>
    <w:rsid w:val="00A439FE"/>
    <w:rsid w:val="00A43D89"/>
    <w:rsid w:val="00A43FEB"/>
    <w:rsid w:val="00A4430F"/>
    <w:rsid w:val="00A44376"/>
    <w:rsid w:val="00A44480"/>
    <w:rsid w:val="00A44798"/>
    <w:rsid w:val="00A4482D"/>
    <w:rsid w:val="00A44A97"/>
    <w:rsid w:val="00A44DCA"/>
    <w:rsid w:val="00A44F6A"/>
    <w:rsid w:val="00A44FA8"/>
    <w:rsid w:val="00A45022"/>
    <w:rsid w:val="00A451D5"/>
    <w:rsid w:val="00A45215"/>
    <w:rsid w:val="00A453B7"/>
    <w:rsid w:val="00A4551C"/>
    <w:rsid w:val="00A4559D"/>
    <w:rsid w:val="00A45662"/>
    <w:rsid w:val="00A45AA5"/>
    <w:rsid w:val="00A45C56"/>
    <w:rsid w:val="00A46117"/>
    <w:rsid w:val="00A463D2"/>
    <w:rsid w:val="00A464C6"/>
    <w:rsid w:val="00A46769"/>
    <w:rsid w:val="00A468C2"/>
    <w:rsid w:val="00A46910"/>
    <w:rsid w:val="00A46A19"/>
    <w:rsid w:val="00A46C67"/>
    <w:rsid w:val="00A47138"/>
    <w:rsid w:val="00A4722A"/>
    <w:rsid w:val="00A47246"/>
    <w:rsid w:val="00A472E0"/>
    <w:rsid w:val="00A47520"/>
    <w:rsid w:val="00A4791A"/>
    <w:rsid w:val="00A47B78"/>
    <w:rsid w:val="00A47CD4"/>
    <w:rsid w:val="00A50F96"/>
    <w:rsid w:val="00A51045"/>
    <w:rsid w:val="00A5166C"/>
    <w:rsid w:val="00A51A6D"/>
    <w:rsid w:val="00A51F27"/>
    <w:rsid w:val="00A5204B"/>
    <w:rsid w:val="00A523D3"/>
    <w:rsid w:val="00A52521"/>
    <w:rsid w:val="00A5292E"/>
    <w:rsid w:val="00A52B0A"/>
    <w:rsid w:val="00A52C5F"/>
    <w:rsid w:val="00A52ED0"/>
    <w:rsid w:val="00A52F91"/>
    <w:rsid w:val="00A52FC2"/>
    <w:rsid w:val="00A5322A"/>
    <w:rsid w:val="00A53364"/>
    <w:rsid w:val="00A53678"/>
    <w:rsid w:val="00A5387F"/>
    <w:rsid w:val="00A53BA2"/>
    <w:rsid w:val="00A53DEC"/>
    <w:rsid w:val="00A542F3"/>
    <w:rsid w:val="00A54382"/>
    <w:rsid w:val="00A54545"/>
    <w:rsid w:val="00A54AB4"/>
    <w:rsid w:val="00A54B13"/>
    <w:rsid w:val="00A5505E"/>
    <w:rsid w:val="00A55266"/>
    <w:rsid w:val="00A557A4"/>
    <w:rsid w:val="00A557E7"/>
    <w:rsid w:val="00A55882"/>
    <w:rsid w:val="00A558E3"/>
    <w:rsid w:val="00A55B72"/>
    <w:rsid w:val="00A55F62"/>
    <w:rsid w:val="00A55FE2"/>
    <w:rsid w:val="00A560D2"/>
    <w:rsid w:val="00A56405"/>
    <w:rsid w:val="00A5652A"/>
    <w:rsid w:val="00A56627"/>
    <w:rsid w:val="00A56A15"/>
    <w:rsid w:val="00A57388"/>
    <w:rsid w:val="00A574EF"/>
    <w:rsid w:val="00A5757B"/>
    <w:rsid w:val="00A5766B"/>
    <w:rsid w:val="00A57782"/>
    <w:rsid w:val="00A57D5D"/>
    <w:rsid w:val="00A57E60"/>
    <w:rsid w:val="00A6004B"/>
    <w:rsid w:val="00A602D3"/>
    <w:rsid w:val="00A6034B"/>
    <w:rsid w:val="00A60AB8"/>
    <w:rsid w:val="00A60E69"/>
    <w:rsid w:val="00A60EAD"/>
    <w:rsid w:val="00A60FE8"/>
    <w:rsid w:val="00A61331"/>
    <w:rsid w:val="00A61663"/>
    <w:rsid w:val="00A61821"/>
    <w:rsid w:val="00A61D95"/>
    <w:rsid w:val="00A621E7"/>
    <w:rsid w:val="00A62311"/>
    <w:rsid w:val="00A62475"/>
    <w:rsid w:val="00A62807"/>
    <w:rsid w:val="00A62B45"/>
    <w:rsid w:val="00A62B7B"/>
    <w:rsid w:val="00A62BAE"/>
    <w:rsid w:val="00A62DB3"/>
    <w:rsid w:val="00A62E18"/>
    <w:rsid w:val="00A62F22"/>
    <w:rsid w:val="00A62F6D"/>
    <w:rsid w:val="00A6312F"/>
    <w:rsid w:val="00A63201"/>
    <w:rsid w:val="00A63928"/>
    <w:rsid w:val="00A63B99"/>
    <w:rsid w:val="00A648D5"/>
    <w:rsid w:val="00A64CBC"/>
    <w:rsid w:val="00A64DC9"/>
    <w:rsid w:val="00A64E82"/>
    <w:rsid w:val="00A652B3"/>
    <w:rsid w:val="00A65404"/>
    <w:rsid w:val="00A65693"/>
    <w:rsid w:val="00A65848"/>
    <w:rsid w:val="00A6587E"/>
    <w:rsid w:val="00A65A0A"/>
    <w:rsid w:val="00A65A53"/>
    <w:rsid w:val="00A65C29"/>
    <w:rsid w:val="00A65FFB"/>
    <w:rsid w:val="00A66074"/>
    <w:rsid w:val="00A665AC"/>
    <w:rsid w:val="00A66605"/>
    <w:rsid w:val="00A671ED"/>
    <w:rsid w:val="00A6724A"/>
    <w:rsid w:val="00A6746E"/>
    <w:rsid w:val="00A67879"/>
    <w:rsid w:val="00A679E1"/>
    <w:rsid w:val="00A67C68"/>
    <w:rsid w:val="00A67E69"/>
    <w:rsid w:val="00A67F4D"/>
    <w:rsid w:val="00A70265"/>
    <w:rsid w:val="00A70590"/>
    <w:rsid w:val="00A70AF5"/>
    <w:rsid w:val="00A70CA7"/>
    <w:rsid w:val="00A70FF1"/>
    <w:rsid w:val="00A716AC"/>
    <w:rsid w:val="00A71826"/>
    <w:rsid w:val="00A71A2E"/>
    <w:rsid w:val="00A71FA6"/>
    <w:rsid w:val="00A723F1"/>
    <w:rsid w:val="00A72848"/>
    <w:rsid w:val="00A72B8B"/>
    <w:rsid w:val="00A72F72"/>
    <w:rsid w:val="00A72F88"/>
    <w:rsid w:val="00A7313E"/>
    <w:rsid w:val="00A73885"/>
    <w:rsid w:val="00A73911"/>
    <w:rsid w:val="00A7396E"/>
    <w:rsid w:val="00A73995"/>
    <w:rsid w:val="00A73ADC"/>
    <w:rsid w:val="00A73B34"/>
    <w:rsid w:val="00A73E4D"/>
    <w:rsid w:val="00A73F50"/>
    <w:rsid w:val="00A73FE8"/>
    <w:rsid w:val="00A74153"/>
    <w:rsid w:val="00A74243"/>
    <w:rsid w:val="00A74BD5"/>
    <w:rsid w:val="00A74D6B"/>
    <w:rsid w:val="00A7509B"/>
    <w:rsid w:val="00A75542"/>
    <w:rsid w:val="00A75707"/>
    <w:rsid w:val="00A75AAE"/>
    <w:rsid w:val="00A75AD6"/>
    <w:rsid w:val="00A75FA4"/>
    <w:rsid w:val="00A760F3"/>
    <w:rsid w:val="00A76164"/>
    <w:rsid w:val="00A765E9"/>
    <w:rsid w:val="00A766C6"/>
    <w:rsid w:val="00A7672D"/>
    <w:rsid w:val="00A768AB"/>
    <w:rsid w:val="00A76B8B"/>
    <w:rsid w:val="00A76C10"/>
    <w:rsid w:val="00A76FB3"/>
    <w:rsid w:val="00A770DF"/>
    <w:rsid w:val="00A7720B"/>
    <w:rsid w:val="00A77264"/>
    <w:rsid w:val="00A7742A"/>
    <w:rsid w:val="00A77492"/>
    <w:rsid w:val="00A777C3"/>
    <w:rsid w:val="00A77D70"/>
    <w:rsid w:val="00A77E48"/>
    <w:rsid w:val="00A800B2"/>
    <w:rsid w:val="00A8034E"/>
    <w:rsid w:val="00A8036B"/>
    <w:rsid w:val="00A80756"/>
    <w:rsid w:val="00A808A6"/>
    <w:rsid w:val="00A80A76"/>
    <w:rsid w:val="00A80AA3"/>
    <w:rsid w:val="00A80B2D"/>
    <w:rsid w:val="00A80B4B"/>
    <w:rsid w:val="00A80DF4"/>
    <w:rsid w:val="00A80FB5"/>
    <w:rsid w:val="00A81169"/>
    <w:rsid w:val="00A814F3"/>
    <w:rsid w:val="00A8151D"/>
    <w:rsid w:val="00A81A7C"/>
    <w:rsid w:val="00A81FBA"/>
    <w:rsid w:val="00A8209D"/>
    <w:rsid w:val="00A821BB"/>
    <w:rsid w:val="00A82256"/>
    <w:rsid w:val="00A8243F"/>
    <w:rsid w:val="00A82AFB"/>
    <w:rsid w:val="00A82B95"/>
    <w:rsid w:val="00A82CD2"/>
    <w:rsid w:val="00A82D6D"/>
    <w:rsid w:val="00A82DB8"/>
    <w:rsid w:val="00A82DF5"/>
    <w:rsid w:val="00A83100"/>
    <w:rsid w:val="00A83282"/>
    <w:rsid w:val="00A8329F"/>
    <w:rsid w:val="00A83510"/>
    <w:rsid w:val="00A835B1"/>
    <w:rsid w:val="00A8368F"/>
    <w:rsid w:val="00A83883"/>
    <w:rsid w:val="00A839FE"/>
    <w:rsid w:val="00A83C00"/>
    <w:rsid w:val="00A83FD5"/>
    <w:rsid w:val="00A8451C"/>
    <w:rsid w:val="00A84A61"/>
    <w:rsid w:val="00A84BF1"/>
    <w:rsid w:val="00A84FB8"/>
    <w:rsid w:val="00A85397"/>
    <w:rsid w:val="00A853F6"/>
    <w:rsid w:val="00A8566C"/>
    <w:rsid w:val="00A85A49"/>
    <w:rsid w:val="00A85ABE"/>
    <w:rsid w:val="00A85AFE"/>
    <w:rsid w:val="00A85CA1"/>
    <w:rsid w:val="00A86166"/>
    <w:rsid w:val="00A86872"/>
    <w:rsid w:val="00A86BE1"/>
    <w:rsid w:val="00A8750B"/>
    <w:rsid w:val="00A87666"/>
    <w:rsid w:val="00A87670"/>
    <w:rsid w:val="00A90286"/>
    <w:rsid w:val="00A9034C"/>
    <w:rsid w:val="00A90902"/>
    <w:rsid w:val="00A914B4"/>
    <w:rsid w:val="00A919D5"/>
    <w:rsid w:val="00A91B99"/>
    <w:rsid w:val="00A91C3D"/>
    <w:rsid w:val="00A92BAF"/>
    <w:rsid w:val="00A92C19"/>
    <w:rsid w:val="00A92D62"/>
    <w:rsid w:val="00A92E5A"/>
    <w:rsid w:val="00A930B4"/>
    <w:rsid w:val="00A93954"/>
    <w:rsid w:val="00A94549"/>
    <w:rsid w:val="00A94B8D"/>
    <w:rsid w:val="00A94CD0"/>
    <w:rsid w:val="00A94D90"/>
    <w:rsid w:val="00A94E9D"/>
    <w:rsid w:val="00A9512D"/>
    <w:rsid w:val="00A95615"/>
    <w:rsid w:val="00A95633"/>
    <w:rsid w:val="00A95B7F"/>
    <w:rsid w:val="00A9617B"/>
    <w:rsid w:val="00A96436"/>
    <w:rsid w:val="00A9672D"/>
    <w:rsid w:val="00A96B92"/>
    <w:rsid w:val="00A96BD0"/>
    <w:rsid w:val="00A96D1E"/>
    <w:rsid w:val="00A972B1"/>
    <w:rsid w:val="00A97624"/>
    <w:rsid w:val="00A9766A"/>
    <w:rsid w:val="00A978FD"/>
    <w:rsid w:val="00A97AE5"/>
    <w:rsid w:val="00A97D4F"/>
    <w:rsid w:val="00AA01D1"/>
    <w:rsid w:val="00AA0402"/>
    <w:rsid w:val="00AA05D8"/>
    <w:rsid w:val="00AA06C8"/>
    <w:rsid w:val="00AA06F5"/>
    <w:rsid w:val="00AA072A"/>
    <w:rsid w:val="00AA0731"/>
    <w:rsid w:val="00AA0A2F"/>
    <w:rsid w:val="00AA11B3"/>
    <w:rsid w:val="00AA1CE7"/>
    <w:rsid w:val="00AA1D87"/>
    <w:rsid w:val="00AA2529"/>
    <w:rsid w:val="00AA26FC"/>
    <w:rsid w:val="00AA2764"/>
    <w:rsid w:val="00AA290E"/>
    <w:rsid w:val="00AA2B4C"/>
    <w:rsid w:val="00AA2CB0"/>
    <w:rsid w:val="00AA2E0B"/>
    <w:rsid w:val="00AA2E4F"/>
    <w:rsid w:val="00AA314A"/>
    <w:rsid w:val="00AA3296"/>
    <w:rsid w:val="00AA366D"/>
    <w:rsid w:val="00AA39BF"/>
    <w:rsid w:val="00AA3A25"/>
    <w:rsid w:val="00AA3A29"/>
    <w:rsid w:val="00AA3BA4"/>
    <w:rsid w:val="00AA3F2A"/>
    <w:rsid w:val="00AA41D4"/>
    <w:rsid w:val="00AA4B5D"/>
    <w:rsid w:val="00AA4EC7"/>
    <w:rsid w:val="00AA503B"/>
    <w:rsid w:val="00AA5359"/>
    <w:rsid w:val="00AA53EE"/>
    <w:rsid w:val="00AA5592"/>
    <w:rsid w:val="00AA573B"/>
    <w:rsid w:val="00AA5836"/>
    <w:rsid w:val="00AA594D"/>
    <w:rsid w:val="00AA6357"/>
    <w:rsid w:val="00AA63A2"/>
    <w:rsid w:val="00AA65F3"/>
    <w:rsid w:val="00AA695A"/>
    <w:rsid w:val="00AA6B88"/>
    <w:rsid w:val="00AA6E7D"/>
    <w:rsid w:val="00AA6F02"/>
    <w:rsid w:val="00AA6F85"/>
    <w:rsid w:val="00AA6FBD"/>
    <w:rsid w:val="00AA7320"/>
    <w:rsid w:val="00AA7B4C"/>
    <w:rsid w:val="00AB0005"/>
    <w:rsid w:val="00AB0077"/>
    <w:rsid w:val="00AB01CC"/>
    <w:rsid w:val="00AB01E2"/>
    <w:rsid w:val="00AB0263"/>
    <w:rsid w:val="00AB09A4"/>
    <w:rsid w:val="00AB0EA6"/>
    <w:rsid w:val="00AB11CD"/>
    <w:rsid w:val="00AB1573"/>
    <w:rsid w:val="00AB17A7"/>
    <w:rsid w:val="00AB1AA6"/>
    <w:rsid w:val="00AB1AC4"/>
    <w:rsid w:val="00AB1BAE"/>
    <w:rsid w:val="00AB22CB"/>
    <w:rsid w:val="00AB2352"/>
    <w:rsid w:val="00AB282D"/>
    <w:rsid w:val="00AB2858"/>
    <w:rsid w:val="00AB2965"/>
    <w:rsid w:val="00AB2C1A"/>
    <w:rsid w:val="00AB2C32"/>
    <w:rsid w:val="00AB2D80"/>
    <w:rsid w:val="00AB32DB"/>
    <w:rsid w:val="00AB37B6"/>
    <w:rsid w:val="00AB3FCE"/>
    <w:rsid w:val="00AB4168"/>
    <w:rsid w:val="00AB441F"/>
    <w:rsid w:val="00AB454D"/>
    <w:rsid w:val="00AB47BB"/>
    <w:rsid w:val="00AB4809"/>
    <w:rsid w:val="00AB48F0"/>
    <w:rsid w:val="00AB4D28"/>
    <w:rsid w:val="00AB4FC8"/>
    <w:rsid w:val="00AB601E"/>
    <w:rsid w:val="00AB6340"/>
    <w:rsid w:val="00AB6479"/>
    <w:rsid w:val="00AB6ADD"/>
    <w:rsid w:val="00AB6C4D"/>
    <w:rsid w:val="00AB70CB"/>
    <w:rsid w:val="00AB7256"/>
    <w:rsid w:val="00AB7566"/>
    <w:rsid w:val="00AC0378"/>
    <w:rsid w:val="00AC04D2"/>
    <w:rsid w:val="00AC09AB"/>
    <w:rsid w:val="00AC0AA8"/>
    <w:rsid w:val="00AC0C7A"/>
    <w:rsid w:val="00AC0F8C"/>
    <w:rsid w:val="00AC1542"/>
    <w:rsid w:val="00AC162A"/>
    <w:rsid w:val="00AC1D3E"/>
    <w:rsid w:val="00AC1E78"/>
    <w:rsid w:val="00AC1E9A"/>
    <w:rsid w:val="00AC1FC0"/>
    <w:rsid w:val="00AC2148"/>
    <w:rsid w:val="00AC2669"/>
    <w:rsid w:val="00AC2CA0"/>
    <w:rsid w:val="00AC2D93"/>
    <w:rsid w:val="00AC2E96"/>
    <w:rsid w:val="00AC2EEC"/>
    <w:rsid w:val="00AC3028"/>
    <w:rsid w:val="00AC33B1"/>
    <w:rsid w:val="00AC33FD"/>
    <w:rsid w:val="00AC3571"/>
    <w:rsid w:val="00AC3FC9"/>
    <w:rsid w:val="00AC43B7"/>
    <w:rsid w:val="00AC4517"/>
    <w:rsid w:val="00AC4BC6"/>
    <w:rsid w:val="00AC4C12"/>
    <w:rsid w:val="00AC4C98"/>
    <w:rsid w:val="00AC4FAA"/>
    <w:rsid w:val="00AC5262"/>
    <w:rsid w:val="00AC583D"/>
    <w:rsid w:val="00AC5AB7"/>
    <w:rsid w:val="00AC5BFA"/>
    <w:rsid w:val="00AC5D46"/>
    <w:rsid w:val="00AC5DB9"/>
    <w:rsid w:val="00AC62D9"/>
    <w:rsid w:val="00AC6451"/>
    <w:rsid w:val="00AC6B49"/>
    <w:rsid w:val="00AC6C50"/>
    <w:rsid w:val="00AC6D5B"/>
    <w:rsid w:val="00AC6DAB"/>
    <w:rsid w:val="00AC6F0E"/>
    <w:rsid w:val="00AC6FB7"/>
    <w:rsid w:val="00AC708C"/>
    <w:rsid w:val="00AC72E0"/>
    <w:rsid w:val="00AC74AB"/>
    <w:rsid w:val="00AC75DE"/>
    <w:rsid w:val="00AC7767"/>
    <w:rsid w:val="00AC7FDA"/>
    <w:rsid w:val="00AD039F"/>
    <w:rsid w:val="00AD0436"/>
    <w:rsid w:val="00AD0578"/>
    <w:rsid w:val="00AD0670"/>
    <w:rsid w:val="00AD098C"/>
    <w:rsid w:val="00AD0B9C"/>
    <w:rsid w:val="00AD0E13"/>
    <w:rsid w:val="00AD10A1"/>
    <w:rsid w:val="00AD12E5"/>
    <w:rsid w:val="00AD15FF"/>
    <w:rsid w:val="00AD18F4"/>
    <w:rsid w:val="00AD193D"/>
    <w:rsid w:val="00AD19FC"/>
    <w:rsid w:val="00AD1A78"/>
    <w:rsid w:val="00AD20F6"/>
    <w:rsid w:val="00AD2318"/>
    <w:rsid w:val="00AD23F5"/>
    <w:rsid w:val="00AD2C56"/>
    <w:rsid w:val="00AD2EA5"/>
    <w:rsid w:val="00AD3316"/>
    <w:rsid w:val="00AD335E"/>
    <w:rsid w:val="00AD3553"/>
    <w:rsid w:val="00AD35E3"/>
    <w:rsid w:val="00AD4015"/>
    <w:rsid w:val="00AD41B4"/>
    <w:rsid w:val="00AD4364"/>
    <w:rsid w:val="00AD4445"/>
    <w:rsid w:val="00AD4C76"/>
    <w:rsid w:val="00AD4C8D"/>
    <w:rsid w:val="00AD55A3"/>
    <w:rsid w:val="00AD565A"/>
    <w:rsid w:val="00AD565F"/>
    <w:rsid w:val="00AD574B"/>
    <w:rsid w:val="00AD5C26"/>
    <w:rsid w:val="00AD5CC4"/>
    <w:rsid w:val="00AD5CC8"/>
    <w:rsid w:val="00AD62C3"/>
    <w:rsid w:val="00AD62C9"/>
    <w:rsid w:val="00AD67DA"/>
    <w:rsid w:val="00AD682F"/>
    <w:rsid w:val="00AD68F4"/>
    <w:rsid w:val="00AD6C69"/>
    <w:rsid w:val="00AD74D7"/>
    <w:rsid w:val="00AD7739"/>
    <w:rsid w:val="00AD77A7"/>
    <w:rsid w:val="00AD7932"/>
    <w:rsid w:val="00AD7C22"/>
    <w:rsid w:val="00AD7FB6"/>
    <w:rsid w:val="00AE0098"/>
    <w:rsid w:val="00AE011D"/>
    <w:rsid w:val="00AE0229"/>
    <w:rsid w:val="00AE1915"/>
    <w:rsid w:val="00AE1A8E"/>
    <w:rsid w:val="00AE1B57"/>
    <w:rsid w:val="00AE1E16"/>
    <w:rsid w:val="00AE1F8A"/>
    <w:rsid w:val="00AE2071"/>
    <w:rsid w:val="00AE2307"/>
    <w:rsid w:val="00AE25C8"/>
    <w:rsid w:val="00AE25F9"/>
    <w:rsid w:val="00AE26BF"/>
    <w:rsid w:val="00AE2736"/>
    <w:rsid w:val="00AE280D"/>
    <w:rsid w:val="00AE2B3A"/>
    <w:rsid w:val="00AE2B42"/>
    <w:rsid w:val="00AE2D5E"/>
    <w:rsid w:val="00AE2E96"/>
    <w:rsid w:val="00AE2F33"/>
    <w:rsid w:val="00AE305B"/>
    <w:rsid w:val="00AE336D"/>
    <w:rsid w:val="00AE3509"/>
    <w:rsid w:val="00AE35A6"/>
    <w:rsid w:val="00AE3843"/>
    <w:rsid w:val="00AE38F7"/>
    <w:rsid w:val="00AE3968"/>
    <w:rsid w:val="00AE3A40"/>
    <w:rsid w:val="00AE3A4E"/>
    <w:rsid w:val="00AE3C32"/>
    <w:rsid w:val="00AE3E46"/>
    <w:rsid w:val="00AE4344"/>
    <w:rsid w:val="00AE4435"/>
    <w:rsid w:val="00AE465B"/>
    <w:rsid w:val="00AE46D9"/>
    <w:rsid w:val="00AE4F82"/>
    <w:rsid w:val="00AE513E"/>
    <w:rsid w:val="00AE5426"/>
    <w:rsid w:val="00AE549D"/>
    <w:rsid w:val="00AE58B7"/>
    <w:rsid w:val="00AE5B87"/>
    <w:rsid w:val="00AE5D88"/>
    <w:rsid w:val="00AE5E17"/>
    <w:rsid w:val="00AE5EE3"/>
    <w:rsid w:val="00AE61DF"/>
    <w:rsid w:val="00AE663E"/>
    <w:rsid w:val="00AE6F84"/>
    <w:rsid w:val="00AE71E7"/>
    <w:rsid w:val="00AE71F0"/>
    <w:rsid w:val="00AE7337"/>
    <w:rsid w:val="00AE73F0"/>
    <w:rsid w:val="00AE7682"/>
    <w:rsid w:val="00AE76AA"/>
    <w:rsid w:val="00AE7A73"/>
    <w:rsid w:val="00AF0164"/>
    <w:rsid w:val="00AF0498"/>
    <w:rsid w:val="00AF06D6"/>
    <w:rsid w:val="00AF0803"/>
    <w:rsid w:val="00AF09F2"/>
    <w:rsid w:val="00AF0A1A"/>
    <w:rsid w:val="00AF0D8F"/>
    <w:rsid w:val="00AF0EA2"/>
    <w:rsid w:val="00AF10AF"/>
    <w:rsid w:val="00AF10F9"/>
    <w:rsid w:val="00AF17BA"/>
    <w:rsid w:val="00AF1AC0"/>
    <w:rsid w:val="00AF2694"/>
    <w:rsid w:val="00AF2818"/>
    <w:rsid w:val="00AF2AA7"/>
    <w:rsid w:val="00AF2CAC"/>
    <w:rsid w:val="00AF2CFE"/>
    <w:rsid w:val="00AF2FAA"/>
    <w:rsid w:val="00AF328B"/>
    <w:rsid w:val="00AF34BB"/>
    <w:rsid w:val="00AF34F5"/>
    <w:rsid w:val="00AF353C"/>
    <w:rsid w:val="00AF3737"/>
    <w:rsid w:val="00AF41F9"/>
    <w:rsid w:val="00AF436F"/>
    <w:rsid w:val="00AF4695"/>
    <w:rsid w:val="00AF46D3"/>
    <w:rsid w:val="00AF4758"/>
    <w:rsid w:val="00AF4875"/>
    <w:rsid w:val="00AF4887"/>
    <w:rsid w:val="00AF4ABF"/>
    <w:rsid w:val="00AF4AC1"/>
    <w:rsid w:val="00AF4B2D"/>
    <w:rsid w:val="00AF4E63"/>
    <w:rsid w:val="00AF4EFB"/>
    <w:rsid w:val="00AF4F63"/>
    <w:rsid w:val="00AF51DD"/>
    <w:rsid w:val="00AF55FD"/>
    <w:rsid w:val="00AF5640"/>
    <w:rsid w:val="00AF5810"/>
    <w:rsid w:val="00AF5F8F"/>
    <w:rsid w:val="00AF5FE7"/>
    <w:rsid w:val="00AF656F"/>
    <w:rsid w:val="00AF660A"/>
    <w:rsid w:val="00AF6625"/>
    <w:rsid w:val="00AF6A43"/>
    <w:rsid w:val="00AF6B16"/>
    <w:rsid w:val="00AF6BA7"/>
    <w:rsid w:val="00AF6DD7"/>
    <w:rsid w:val="00AF741A"/>
    <w:rsid w:val="00AF7688"/>
    <w:rsid w:val="00AF7A24"/>
    <w:rsid w:val="00AF7EA6"/>
    <w:rsid w:val="00B001CE"/>
    <w:rsid w:val="00B00561"/>
    <w:rsid w:val="00B008F8"/>
    <w:rsid w:val="00B00951"/>
    <w:rsid w:val="00B0124A"/>
    <w:rsid w:val="00B0129E"/>
    <w:rsid w:val="00B01798"/>
    <w:rsid w:val="00B01903"/>
    <w:rsid w:val="00B01E55"/>
    <w:rsid w:val="00B02492"/>
    <w:rsid w:val="00B02782"/>
    <w:rsid w:val="00B02786"/>
    <w:rsid w:val="00B02942"/>
    <w:rsid w:val="00B02980"/>
    <w:rsid w:val="00B02A0E"/>
    <w:rsid w:val="00B02A78"/>
    <w:rsid w:val="00B02C88"/>
    <w:rsid w:val="00B02ED1"/>
    <w:rsid w:val="00B02FA0"/>
    <w:rsid w:val="00B03316"/>
    <w:rsid w:val="00B0385F"/>
    <w:rsid w:val="00B03DE4"/>
    <w:rsid w:val="00B040F1"/>
    <w:rsid w:val="00B0437C"/>
    <w:rsid w:val="00B04A76"/>
    <w:rsid w:val="00B04B86"/>
    <w:rsid w:val="00B04FFF"/>
    <w:rsid w:val="00B050B1"/>
    <w:rsid w:val="00B05331"/>
    <w:rsid w:val="00B054E6"/>
    <w:rsid w:val="00B05727"/>
    <w:rsid w:val="00B05824"/>
    <w:rsid w:val="00B05AF8"/>
    <w:rsid w:val="00B05C14"/>
    <w:rsid w:val="00B05D79"/>
    <w:rsid w:val="00B05F54"/>
    <w:rsid w:val="00B0659F"/>
    <w:rsid w:val="00B069CA"/>
    <w:rsid w:val="00B069DC"/>
    <w:rsid w:val="00B06CBF"/>
    <w:rsid w:val="00B073A6"/>
    <w:rsid w:val="00B077A6"/>
    <w:rsid w:val="00B07984"/>
    <w:rsid w:val="00B07A5B"/>
    <w:rsid w:val="00B07A9B"/>
    <w:rsid w:val="00B07BFE"/>
    <w:rsid w:val="00B07CEF"/>
    <w:rsid w:val="00B07F74"/>
    <w:rsid w:val="00B101DC"/>
    <w:rsid w:val="00B10A86"/>
    <w:rsid w:val="00B10B95"/>
    <w:rsid w:val="00B10D47"/>
    <w:rsid w:val="00B11027"/>
    <w:rsid w:val="00B11223"/>
    <w:rsid w:val="00B11271"/>
    <w:rsid w:val="00B11465"/>
    <w:rsid w:val="00B1169A"/>
    <w:rsid w:val="00B1195A"/>
    <w:rsid w:val="00B11D60"/>
    <w:rsid w:val="00B12006"/>
    <w:rsid w:val="00B120EE"/>
    <w:rsid w:val="00B120F6"/>
    <w:rsid w:val="00B121C6"/>
    <w:rsid w:val="00B122D1"/>
    <w:rsid w:val="00B124B3"/>
    <w:rsid w:val="00B12C0C"/>
    <w:rsid w:val="00B12DB4"/>
    <w:rsid w:val="00B12F42"/>
    <w:rsid w:val="00B1310E"/>
    <w:rsid w:val="00B1319B"/>
    <w:rsid w:val="00B13545"/>
    <w:rsid w:val="00B1398E"/>
    <w:rsid w:val="00B139C0"/>
    <w:rsid w:val="00B13AA9"/>
    <w:rsid w:val="00B13AD5"/>
    <w:rsid w:val="00B1409D"/>
    <w:rsid w:val="00B14314"/>
    <w:rsid w:val="00B14337"/>
    <w:rsid w:val="00B14514"/>
    <w:rsid w:val="00B14D13"/>
    <w:rsid w:val="00B14F63"/>
    <w:rsid w:val="00B15056"/>
    <w:rsid w:val="00B15178"/>
    <w:rsid w:val="00B156AF"/>
    <w:rsid w:val="00B15709"/>
    <w:rsid w:val="00B15884"/>
    <w:rsid w:val="00B15AEF"/>
    <w:rsid w:val="00B15BC4"/>
    <w:rsid w:val="00B15EB3"/>
    <w:rsid w:val="00B16295"/>
    <w:rsid w:val="00B16346"/>
    <w:rsid w:val="00B16B59"/>
    <w:rsid w:val="00B170AE"/>
    <w:rsid w:val="00B17507"/>
    <w:rsid w:val="00B175C5"/>
    <w:rsid w:val="00B1773B"/>
    <w:rsid w:val="00B178A4"/>
    <w:rsid w:val="00B17AD6"/>
    <w:rsid w:val="00B17ED3"/>
    <w:rsid w:val="00B2016C"/>
    <w:rsid w:val="00B2049E"/>
    <w:rsid w:val="00B204C2"/>
    <w:rsid w:val="00B205C3"/>
    <w:rsid w:val="00B20915"/>
    <w:rsid w:val="00B20BEA"/>
    <w:rsid w:val="00B21149"/>
    <w:rsid w:val="00B2128D"/>
    <w:rsid w:val="00B2137B"/>
    <w:rsid w:val="00B2159D"/>
    <w:rsid w:val="00B21E42"/>
    <w:rsid w:val="00B21F53"/>
    <w:rsid w:val="00B22005"/>
    <w:rsid w:val="00B22152"/>
    <w:rsid w:val="00B221E3"/>
    <w:rsid w:val="00B22266"/>
    <w:rsid w:val="00B22342"/>
    <w:rsid w:val="00B225EF"/>
    <w:rsid w:val="00B22783"/>
    <w:rsid w:val="00B2286C"/>
    <w:rsid w:val="00B22953"/>
    <w:rsid w:val="00B22BA5"/>
    <w:rsid w:val="00B22EFE"/>
    <w:rsid w:val="00B2310C"/>
    <w:rsid w:val="00B231A4"/>
    <w:rsid w:val="00B234B8"/>
    <w:rsid w:val="00B23610"/>
    <w:rsid w:val="00B238E9"/>
    <w:rsid w:val="00B23A83"/>
    <w:rsid w:val="00B24033"/>
    <w:rsid w:val="00B240A8"/>
    <w:rsid w:val="00B2507E"/>
    <w:rsid w:val="00B251C0"/>
    <w:rsid w:val="00B255D6"/>
    <w:rsid w:val="00B25763"/>
    <w:rsid w:val="00B25A73"/>
    <w:rsid w:val="00B25D42"/>
    <w:rsid w:val="00B25D78"/>
    <w:rsid w:val="00B25D9D"/>
    <w:rsid w:val="00B25DC5"/>
    <w:rsid w:val="00B2623E"/>
    <w:rsid w:val="00B26426"/>
    <w:rsid w:val="00B265EA"/>
    <w:rsid w:val="00B26788"/>
    <w:rsid w:val="00B26836"/>
    <w:rsid w:val="00B26B37"/>
    <w:rsid w:val="00B26C4B"/>
    <w:rsid w:val="00B26D25"/>
    <w:rsid w:val="00B2709E"/>
    <w:rsid w:val="00B27185"/>
    <w:rsid w:val="00B273FB"/>
    <w:rsid w:val="00B27C72"/>
    <w:rsid w:val="00B27E6F"/>
    <w:rsid w:val="00B27F74"/>
    <w:rsid w:val="00B30552"/>
    <w:rsid w:val="00B3098A"/>
    <w:rsid w:val="00B30A27"/>
    <w:rsid w:val="00B30E83"/>
    <w:rsid w:val="00B3102E"/>
    <w:rsid w:val="00B3125B"/>
    <w:rsid w:val="00B3131D"/>
    <w:rsid w:val="00B313AE"/>
    <w:rsid w:val="00B313BC"/>
    <w:rsid w:val="00B31954"/>
    <w:rsid w:val="00B31B7B"/>
    <w:rsid w:val="00B31DEC"/>
    <w:rsid w:val="00B32143"/>
    <w:rsid w:val="00B321AE"/>
    <w:rsid w:val="00B323F0"/>
    <w:rsid w:val="00B32558"/>
    <w:rsid w:val="00B327D4"/>
    <w:rsid w:val="00B327D8"/>
    <w:rsid w:val="00B328CC"/>
    <w:rsid w:val="00B32A32"/>
    <w:rsid w:val="00B32BFE"/>
    <w:rsid w:val="00B32F49"/>
    <w:rsid w:val="00B332F7"/>
    <w:rsid w:val="00B33AE2"/>
    <w:rsid w:val="00B33BCD"/>
    <w:rsid w:val="00B34142"/>
    <w:rsid w:val="00B342AD"/>
    <w:rsid w:val="00B343B9"/>
    <w:rsid w:val="00B344F7"/>
    <w:rsid w:val="00B34546"/>
    <w:rsid w:val="00B34C72"/>
    <w:rsid w:val="00B354AD"/>
    <w:rsid w:val="00B35705"/>
    <w:rsid w:val="00B357E9"/>
    <w:rsid w:val="00B359B4"/>
    <w:rsid w:val="00B35D11"/>
    <w:rsid w:val="00B35FB0"/>
    <w:rsid w:val="00B36174"/>
    <w:rsid w:val="00B36268"/>
    <w:rsid w:val="00B36542"/>
    <w:rsid w:val="00B365E0"/>
    <w:rsid w:val="00B369E9"/>
    <w:rsid w:val="00B36A6C"/>
    <w:rsid w:val="00B36D3B"/>
    <w:rsid w:val="00B36D4B"/>
    <w:rsid w:val="00B36F5C"/>
    <w:rsid w:val="00B3749D"/>
    <w:rsid w:val="00B3769C"/>
    <w:rsid w:val="00B377C1"/>
    <w:rsid w:val="00B378A1"/>
    <w:rsid w:val="00B37BDF"/>
    <w:rsid w:val="00B37FCF"/>
    <w:rsid w:val="00B400F4"/>
    <w:rsid w:val="00B401C3"/>
    <w:rsid w:val="00B4071B"/>
    <w:rsid w:val="00B40BDC"/>
    <w:rsid w:val="00B4169C"/>
    <w:rsid w:val="00B419A0"/>
    <w:rsid w:val="00B41AFE"/>
    <w:rsid w:val="00B41BD7"/>
    <w:rsid w:val="00B41CE0"/>
    <w:rsid w:val="00B4207D"/>
    <w:rsid w:val="00B4267E"/>
    <w:rsid w:val="00B42B12"/>
    <w:rsid w:val="00B42B5F"/>
    <w:rsid w:val="00B43003"/>
    <w:rsid w:val="00B43063"/>
    <w:rsid w:val="00B430CC"/>
    <w:rsid w:val="00B4323E"/>
    <w:rsid w:val="00B4333D"/>
    <w:rsid w:val="00B43373"/>
    <w:rsid w:val="00B43490"/>
    <w:rsid w:val="00B4379F"/>
    <w:rsid w:val="00B43985"/>
    <w:rsid w:val="00B4399C"/>
    <w:rsid w:val="00B43BEB"/>
    <w:rsid w:val="00B43D53"/>
    <w:rsid w:val="00B43FAB"/>
    <w:rsid w:val="00B442C6"/>
    <w:rsid w:val="00B44661"/>
    <w:rsid w:val="00B4466B"/>
    <w:rsid w:val="00B44681"/>
    <w:rsid w:val="00B448BB"/>
    <w:rsid w:val="00B45000"/>
    <w:rsid w:val="00B4527C"/>
    <w:rsid w:val="00B452CF"/>
    <w:rsid w:val="00B45578"/>
    <w:rsid w:val="00B45BB7"/>
    <w:rsid w:val="00B46073"/>
    <w:rsid w:val="00B46115"/>
    <w:rsid w:val="00B467EB"/>
    <w:rsid w:val="00B46D0E"/>
    <w:rsid w:val="00B473EF"/>
    <w:rsid w:val="00B47423"/>
    <w:rsid w:val="00B474EF"/>
    <w:rsid w:val="00B4784D"/>
    <w:rsid w:val="00B47B9A"/>
    <w:rsid w:val="00B47BF2"/>
    <w:rsid w:val="00B47D82"/>
    <w:rsid w:val="00B47DD4"/>
    <w:rsid w:val="00B47EC1"/>
    <w:rsid w:val="00B50919"/>
    <w:rsid w:val="00B50ABD"/>
    <w:rsid w:val="00B50AE0"/>
    <w:rsid w:val="00B50E31"/>
    <w:rsid w:val="00B50E7A"/>
    <w:rsid w:val="00B510CE"/>
    <w:rsid w:val="00B51B62"/>
    <w:rsid w:val="00B5227E"/>
    <w:rsid w:val="00B529AD"/>
    <w:rsid w:val="00B5364B"/>
    <w:rsid w:val="00B53C97"/>
    <w:rsid w:val="00B53DD8"/>
    <w:rsid w:val="00B53F70"/>
    <w:rsid w:val="00B54853"/>
    <w:rsid w:val="00B54EF5"/>
    <w:rsid w:val="00B55277"/>
    <w:rsid w:val="00B556D9"/>
    <w:rsid w:val="00B5587A"/>
    <w:rsid w:val="00B558A8"/>
    <w:rsid w:val="00B558D5"/>
    <w:rsid w:val="00B558FA"/>
    <w:rsid w:val="00B55A54"/>
    <w:rsid w:val="00B55A80"/>
    <w:rsid w:val="00B55A93"/>
    <w:rsid w:val="00B55B70"/>
    <w:rsid w:val="00B56232"/>
    <w:rsid w:val="00B56267"/>
    <w:rsid w:val="00B562E3"/>
    <w:rsid w:val="00B56470"/>
    <w:rsid w:val="00B56643"/>
    <w:rsid w:val="00B56A27"/>
    <w:rsid w:val="00B56C04"/>
    <w:rsid w:val="00B56D97"/>
    <w:rsid w:val="00B56DB8"/>
    <w:rsid w:val="00B56E13"/>
    <w:rsid w:val="00B56EC8"/>
    <w:rsid w:val="00B5707E"/>
    <w:rsid w:val="00B572D2"/>
    <w:rsid w:val="00B57416"/>
    <w:rsid w:val="00B57554"/>
    <w:rsid w:val="00B57F8E"/>
    <w:rsid w:val="00B6029D"/>
    <w:rsid w:val="00B6063E"/>
    <w:rsid w:val="00B60756"/>
    <w:rsid w:val="00B60882"/>
    <w:rsid w:val="00B60A15"/>
    <w:rsid w:val="00B60C0C"/>
    <w:rsid w:val="00B61305"/>
    <w:rsid w:val="00B614B8"/>
    <w:rsid w:val="00B6166F"/>
    <w:rsid w:val="00B61CFF"/>
    <w:rsid w:val="00B61DD5"/>
    <w:rsid w:val="00B6267F"/>
    <w:rsid w:val="00B627E8"/>
    <w:rsid w:val="00B627F1"/>
    <w:rsid w:val="00B62973"/>
    <w:rsid w:val="00B62C69"/>
    <w:rsid w:val="00B62D6A"/>
    <w:rsid w:val="00B62EAD"/>
    <w:rsid w:val="00B62EC9"/>
    <w:rsid w:val="00B63053"/>
    <w:rsid w:val="00B63BD0"/>
    <w:rsid w:val="00B63CBF"/>
    <w:rsid w:val="00B6428E"/>
    <w:rsid w:val="00B6462B"/>
    <w:rsid w:val="00B6469B"/>
    <w:rsid w:val="00B64DA4"/>
    <w:rsid w:val="00B64E5E"/>
    <w:rsid w:val="00B654C3"/>
    <w:rsid w:val="00B65858"/>
    <w:rsid w:val="00B65AAB"/>
    <w:rsid w:val="00B65D52"/>
    <w:rsid w:val="00B65F49"/>
    <w:rsid w:val="00B665D4"/>
    <w:rsid w:val="00B66603"/>
    <w:rsid w:val="00B66631"/>
    <w:rsid w:val="00B66961"/>
    <w:rsid w:val="00B66D4B"/>
    <w:rsid w:val="00B66E3F"/>
    <w:rsid w:val="00B66EEB"/>
    <w:rsid w:val="00B6731C"/>
    <w:rsid w:val="00B67469"/>
    <w:rsid w:val="00B67648"/>
    <w:rsid w:val="00B67651"/>
    <w:rsid w:val="00B67661"/>
    <w:rsid w:val="00B677E5"/>
    <w:rsid w:val="00B67A42"/>
    <w:rsid w:val="00B67A45"/>
    <w:rsid w:val="00B67A8E"/>
    <w:rsid w:val="00B67B48"/>
    <w:rsid w:val="00B67EB3"/>
    <w:rsid w:val="00B70021"/>
    <w:rsid w:val="00B70081"/>
    <w:rsid w:val="00B704AF"/>
    <w:rsid w:val="00B70C9D"/>
    <w:rsid w:val="00B71355"/>
    <w:rsid w:val="00B715C2"/>
    <w:rsid w:val="00B715FD"/>
    <w:rsid w:val="00B7185B"/>
    <w:rsid w:val="00B718E1"/>
    <w:rsid w:val="00B718F4"/>
    <w:rsid w:val="00B71C40"/>
    <w:rsid w:val="00B71EF7"/>
    <w:rsid w:val="00B71FA5"/>
    <w:rsid w:val="00B72045"/>
    <w:rsid w:val="00B728D1"/>
    <w:rsid w:val="00B729BD"/>
    <w:rsid w:val="00B72A68"/>
    <w:rsid w:val="00B72CDA"/>
    <w:rsid w:val="00B72CF4"/>
    <w:rsid w:val="00B72E78"/>
    <w:rsid w:val="00B73207"/>
    <w:rsid w:val="00B73294"/>
    <w:rsid w:val="00B7361C"/>
    <w:rsid w:val="00B7399B"/>
    <w:rsid w:val="00B73AC4"/>
    <w:rsid w:val="00B73E57"/>
    <w:rsid w:val="00B7483B"/>
    <w:rsid w:val="00B74846"/>
    <w:rsid w:val="00B74B6E"/>
    <w:rsid w:val="00B74B9D"/>
    <w:rsid w:val="00B74D73"/>
    <w:rsid w:val="00B74F16"/>
    <w:rsid w:val="00B75149"/>
    <w:rsid w:val="00B7555A"/>
    <w:rsid w:val="00B755FF"/>
    <w:rsid w:val="00B7581D"/>
    <w:rsid w:val="00B75981"/>
    <w:rsid w:val="00B759E6"/>
    <w:rsid w:val="00B760A3"/>
    <w:rsid w:val="00B760EB"/>
    <w:rsid w:val="00B7616F"/>
    <w:rsid w:val="00B76612"/>
    <w:rsid w:val="00B767D2"/>
    <w:rsid w:val="00B76AE9"/>
    <w:rsid w:val="00B76E3A"/>
    <w:rsid w:val="00B77256"/>
    <w:rsid w:val="00B776EC"/>
    <w:rsid w:val="00B77B36"/>
    <w:rsid w:val="00B77F7B"/>
    <w:rsid w:val="00B80100"/>
    <w:rsid w:val="00B801D9"/>
    <w:rsid w:val="00B80487"/>
    <w:rsid w:val="00B807F2"/>
    <w:rsid w:val="00B8083D"/>
    <w:rsid w:val="00B80AD9"/>
    <w:rsid w:val="00B80B1A"/>
    <w:rsid w:val="00B80F6C"/>
    <w:rsid w:val="00B80FEE"/>
    <w:rsid w:val="00B813B3"/>
    <w:rsid w:val="00B81400"/>
    <w:rsid w:val="00B81424"/>
    <w:rsid w:val="00B814DE"/>
    <w:rsid w:val="00B81519"/>
    <w:rsid w:val="00B815A4"/>
    <w:rsid w:val="00B81860"/>
    <w:rsid w:val="00B81D4B"/>
    <w:rsid w:val="00B81F3F"/>
    <w:rsid w:val="00B8202A"/>
    <w:rsid w:val="00B82631"/>
    <w:rsid w:val="00B828F1"/>
    <w:rsid w:val="00B82EE7"/>
    <w:rsid w:val="00B83065"/>
    <w:rsid w:val="00B83075"/>
    <w:rsid w:val="00B83360"/>
    <w:rsid w:val="00B83886"/>
    <w:rsid w:val="00B83D47"/>
    <w:rsid w:val="00B83DD6"/>
    <w:rsid w:val="00B83EDE"/>
    <w:rsid w:val="00B84268"/>
    <w:rsid w:val="00B84AC0"/>
    <w:rsid w:val="00B84B90"/>
    <w:rsid w:val="00B84F76"/>
    <w:rsid w:val="00B850AE"/>
    <w:rsid w:val="00B8513D"/>
    <w:rsid w:val="00B851EB"/>
    <w:rsid w:val="00B852EC"/>
    <w:rsid w:val="00B8534A"/>
    <w:rsid w:val="00B854D0"/>
    <w:rsid w:val="00B85A14"/>
    <w:rsid w:val="00B85A2B"/>
    <w:rsid w:val="00B8622B"/>
    <w:rsid w:val="00B867FB"/>
    <w:rsid w:val="00B8696C"/>
    <w:rsid w:val="00B86A50"/>
    <w:rsid w:val="00B86EAA"/>
    <w:rsid w:val="00B86EC5"/>
    <w:rsid w:val="00B86EC8"/>
    <w:rsid w:val="00B86F66"/>
    <w:rsid w:val="00B87031"/>
    <w:rsid w:val="00B874A5"/>
    <w:rsid w:val="00B87998"/>
    <w:rsid w:val="00B87C6C"/>
    <w:rsid w:val="00B87DBD"/>
    <w:rsid w:val="00B90327"/>
    <w:rsid w:val="00B906DD"/>
    <w:rsid w:val="00B90E45"/>
    <w:rsid w:val="00B91492"/>
    <w:rsid w:val="00B91579"/>
    <w:rsid w:val="00B919EB"/>
    <w:rsid w:val="00B91E4D"/>
    <w:rsid w:val="00B920C1"/>
    <w:rsid w:val="00B9234A"/>
    <w:rsid w:val="00B925AE"/>
    <w:rsid w:val="00B9277E"/>
    <w:rsid w:val="00B92904"/>
    <w:rsid w:val="00B9312A"/>
    <w:rsid w:val="00B9319F"/>
    <w:rsid w:val="00B9334D"/>
    <w:rsid w:val="00B933D5"/>
    <w:rsid w:val="00B934C7"/>
    <w:rsid w:val="00B935CB"/>
    <w:rsid w:val="00B9387D"/>
    <w:rsid w:val="00B93B93"/>
    <w:rsid w:val="00B9402C"/>
    <w:rsid w:val="00B940AD"/>
    <w:rsid w:val="00B940DB"/>
    <w:rsid w:val="00B9431D"/>
    <w:rsid w:val="00B943B9"/>
    <w:rsid w:val="00B9443E"/>
    <w:rsid w:val="00B9466D"/>
    <w:rsid w:val="00B94724"/>
    <w:rsid w:val="00B94950"/>
    <w:rsid w:val="00B94E44"/>
    <w:rsid w:val="00B94F09"/>
    <w:rsid w:val="00B950C2"/>
    <w:rsid w:val="00B950EA"/>
    <w:rsid w:val="00B95173"/>
    <w:rsid w:val="00B95324"/>
    <w:rsid w:val="00B95355"/>
    <w:rsid w:val="00B95663"/>
    <w:rsid w:val="00B95934"/>
    <w:rsid w:val="00B95B4E"/>
    <w:rsid w:val="00B95D52"/>
    <w:rsid w:val="00B95DF3"/>
    <w:rsid w:val="00B95E0A"/>
    <w:rsid w:val="00B95F67"/>
    <w:rsid w:val="00B95F8D"/>
    <w:rsid w:val="00B9624E"/>
    <w:rsid w:val="00B96386"/>
    <w:rsid w:val="00B965E1"/>
    <w:rsid w:val="00B9661F"/>
    <w:rsid w:val="00B96794"/>
    <w:rsid w:val="00B968E4"/>
    <w:rsid w:val="00B96B10"/>
    <w:rsid w:val="00B96D4E"/>
    <w:rsid w:val="00B96D79"/>
    <w:rsid w:val="00B96FC7"/>
    <w:rsid w:val="00B97346"/>
    <w:rsid w:val="00B97481"/>
    <w:rsid w:val="00B97603"/>
    <w:rsid w:val="00B97A9C"/>
    <w:rsid w:val="00B97DBE"/>
    <w:rsid w:val="00B97DDE"/>
    <w:rsid w:val="00B98880"/>
    <w:rsid w:val="00BA0013"/>
    <w:rsid w:val="00BA02DE"/>
    <w:rsid w:val="00BA0908"/>
    <w:rsid w:val="00BA0A2E"/>
    <w:rsid w:val="00BA0C1C"/>
    <w:rsid w:val="00BA114C"/>
    <w:rsid w:val="00BA1862"/>
    <w:rsid w:val="00BA1E6E"/>
    <w:rsid w:val="00BA2297"/>
    <w:rsid w:val="00BA2338"/>
    <w:rsid w:val="00BA292F"/>
    <w:rsid w:val="00BA2961"/>
    <w:rsid w:val="00BA2A66"/>
    <w:rsid w:val="00BA2E5D"/>
    <w:rsid w:val="00BA309F"/>
    <w:rsid w:val="00BA31A8"/>
    <w:rsid w:val="00BA3443"/>
    <w:rsid w:val="00BA39F6"/>
    <w:rsid w:val="00BA3CDB"/>
    <w:rsid w:val="00BA3D26"/>
    <w:rsid w:val="00BA3EC8"/>
    <w:rsid w:val="00BA3EE9"/>
    <w:rsid w:val="00BA435D"/>
    <w:rsid w:val="00BA4513"/>
    <w:rsid w:val="00BA474D"/>
    <w:rsid w:val="00BA4829"/>
    <w:rsid w:val="00BA49B8"/>
    <w:rsid w:val="00BA4C24"/>
    <w:rsid w:val="00BA4E87"/>
    <w:rsid w:val="00BA5815"/>
    <w:rsid w:val="00BA583C"/>
    <w:rsid w:val="00BA59E1"/>
    <w:rsid w:val="00BA5D4B"/>
    <w:rsid w:val="00BA60F3"/>
    <w:rsid w:val="00BA653D"/>
    <w:rsid w:val="00BA6971"/>
    <w:rsid w:val="00BA6CBF"/>
    <w:rsid w:val="00BA6FBF"/>
    <w:rsid w:val="00BA6FCD"/>
    <w:rsid w:val="00BA7269"/>
    <w:rsid w:val="00BA747D"/>
    <w:rsid w:val="00BA76F8"/>
    <w:rsid w:val="00BA787E"/>
    <w:rsid w:val="00BA78DD"/>
    <w:rsid w:val="00BA7B22"/>
    <w:rsid w:val="00BA7D86"/>
    <w:rsid w:val="00BA7D97"/>
    <w:rsid w:val="00BA7E76"/>
    <w:rsid w:val="00BB04E8"/>
    <w:rsid w:val="00BB0791"/>
    <w:rsid w:val="00BB081B"/>
    <w:rsid w:val="00BB08CB"/>
    <w:rsid w:val="00BB09CF"/>
    <w:rsid w:val="00BB0A9A"/>
    <w:rsid w:val="00BB0BD4"/>
    <w:rsid w:val="00BB13D9"/>
    <w:rsid w:val="00BB143F"/>
    <w:rsid w:val="00BB1466"/>
    <w:rsid w:val="00BB1B54"/>
    <w:rsid w:val="00BB1CE3"/>
    <w:rsid w:val="00BB21EC"/>
    <w:rsid w:val="00BB2217"/>
    <w:rsid w:val="00BB2AAC"/>
    <w:rsid w:val="00BB2C31"/>
    <w:rsid w:val="00BB2E52"/>
    <w:rsid w:val="00BB2EAA"/>
    <w:rsid w:val="00BB3878"/>
    <w:rsid w:val="00BB38BF"/>
    <w:rsid w:val="00BB3A21"/>
    <w:rsid w:val="00BB3CDF"/>
    <w:rsid w:val="00BB3D81"/>
    <w:rsid w:val="00BB413F"/>
    <w:rsid w:val="00BB4698"/>
    <w:rsid w:val="00BB46CC"/>
    <w:rsid w:val="00BB46DD"/>
    <w:rsid w:val="00BB5475"/>
    <w:rsid w:val="00BB56CF"/>
    <w:rsid w:val="00BB5AFD"/>
    <w:rsid w:val="00BB5D67"/>
    <w:rsid w:val="00BB5E63"/>
    <w:rsid w:val="00BB5F85"/>
    <w:rsid w:val="00BB60E3"/>
    <w:rsid w:val="00BB652F"/>
    <w:rsid w:val="00BB6710"/>
    <w:rsid w:val="00BB671A"/>
    <w:rsid w:val="00BB687D"/>
    <w:rsid w:val="00BB6930"/>
    <w:rsid w:val="00BB6A59"/>
    <w:rsid w:val="00BB6AFB"/>
    <w:rsid w:val="00BB6B6E"/>
    <w:rsid w:val="00BB7120"/>
    <w:rsid w:val="00BB71E1"/>
    <w:rsid w:val="00BB75DE"/>
    <w:rsid w:val="00BB7CAD"/>
    <w:rsid w:val="00BB7FDD"/>
    <w:rsid w:val="00BC02BC"/>
    <w:rsid w:val="00BC040F"/>
    <w:rsid w:val="00BC05B6"/>
    <w:rsid w:val="00BC09E0"/>
    <w:rsid w:val="00BC0C0D"/>
    <w:rsid w:val="00BC0F14"/>
    <w:rsid w:val="00BC1051"/>
    <w:rsid w:val="00BC18F1"/>
    <w:rsid w:val="00BC1991"/>
    <w:rsid w:val="00BC1D81"/>
    <w:rsid w:val="00BC2317"/>
    <w:rsid w:val="00BC253C"/>
    <w:rsid w:val="00BC2735"/>
    <w:rsid w:val="00BC2AAA"/>
    <w:rsid w:val="00BC2BFE"/>
    <w:rsid w:val="00BC2C8D"/>
    <w:rsid w:val="00BC2EED"/>
    <w:rsid w:val="00BC344F"/>
    <w:rsid w:val="00BC3570"/>
    <w:rsid w:val="00BC3D71"/>
    <w:rsid w:val="00BC3FCD"/>
    <w:rsid w:val="00BC4043"/>
    <w:rsid w:val="00BC40F7"/>
    <w:rsid w:val="00BC41E0"/>
    <w:rsid w:val="00BC46CA"/>
    <w:rsid w:val="00BC47EF"/>
    <w:rsid w:val="00BC4E01"/>
    <w:rsid w:val="00BC5356"/>
    <w:rsid w:val="00BC546D"/>
    <w:rsid w:val="00BC582A"/>
    <w:rsid w:val="00BC59A6"/>
    <w:rsid w:val="00BC5CE6"/>
    <w:rsid w:val="00BC5E8F"/>
    <w:rsid w:val="00BC5FF7"/>
    <w:rsid w:val="00BC6395"/>
    <w:rsid w:val="00BC6A67"/>
    <w:rsid w:val="00BC6B42"/>
    <w:rsid w:val="00BC6B77"/>
    <w:rsid w:val="00BC6CA8"/>
    <w:rsid w:val="00BC6CB2"/>
    <w:rsid w:val="00BC6DC2"/>
    <w:rsid w:val="00BC6DED"/>
    <w:rsid w:val="00BC6E02"/>
    <w:rsid w:val="00BC6E1D"/>
    <w:rsid w:val="00BC7508"/>
    <w:rsid w:val="00BC790A"/>
    <w:rsid w:val="00BC7A48"/>
    <w:rsid w:val="00BC7B27"/>
    <w:rsid w:val="00BC7CDB"/>
    <w:rsid w:val="00BC7CE9"/>
    <w:rsid w:val="00BC7D2D"/>
    <w:rsid w:val="00BD01DA"/>
    <w:rsid w:val="00BD06E8"/>
    <w:rsid w:val="00BD0842"/>
    <w:rsid w:val="00BD084D"/>
    <w:rsid w:val="00BD0CCF"/>
    <w:rsid w:val="00BD0E09"/>
    <w:rsid w:val="00BD0FAC"/>
    <w:rsid w:val="00BD1116"/>
    <w:rsid w:val="00BD1275"/>
    <w:rsid w:val="00BD146B"/>
    <w:rsid w:val="00BD14B0"/>
    <w:rsid w:val="00BD14ED"/>
    <w:rsid w:val="00BD1513"/>
    <w:rsid w:val="00BD1B3B"/>
    <w:rsid w:val="00BD1B6F"/>
    <w:rsid w:val="00BD2A7C"/>
    <w:rsid w:val="00BD31F8"/>
    <w:rsid w:val="00BD3372"/>
    <w:rsid w:val="00BD366F"/>
    <w:rsid w:val="00BD397D"/>
    <w:rsid w:val="00BD3CFF"/>
    <w:rsid w:val="00BD3EA8"/>
    <w:rsid w:val="00BD402E"/>
    <w:rsid w:val="00BD4063"/>
    <w:rsid w:val="00BD433B"/>
    <w:rsid w:val="00BD4603"/>
    <w:rsid w:val="00BD50C7"/>
    <w:rsid w:val="00BD5455"/>
    <w:rsid w:val="00BD59CA"/>
    <w:rsid w:val="00BD5CAA"/>
    <w:rsid w:val="00BD5D2F"/>
    <w:rsid w:val="00BD6268"/>
    <w:rsid w:val="00BD62E6"/>
    <w:rsid w:val="00BD668E"/>
    <w:rsid w:val="00BD6FBD"/>
    <w:rsid w:val="00BD7707"/>
    <w:rsid w:val="00BD77CC"/>
    <w:rsid w:val="00BD7A16"/>
    <w:rsid w:val="00BD7CBD"/>
    <w:rsid w:val="00BD7D34"/>
    <w:rsid w:val="00BD7D4F"/>
    <w:rsid w:val="00BE05C9"/>
    <w:rsid w:val="00BE05FC"/>
    <w:rsid w:val="00BE0639"/>
    <w:rsid w:val="00BE088B"/>
    <w:rsid w:val="00BE0C96"/>
    <w:rsid w:val="00BE0F21"/>
    <w:rsid w:val="00BE0FE1"/>
    <w:rsid w:val="00BE1097"/>
    <w:rsid w:val="00BE12D5"/>
    <w:rsid w:val="00BE1731"/>
    <w:rsid w:val="00BE1736"/>
    <w:rsid w:val="00BE1A55"/>
    <w:rsid w:val="00BE1C6F"/>
    <w:rsid w:val="00BE1F2B"/>
    <w:rsid w:val="00BE2538"/>
    <w:rsid w:val="00BE27FB"/>
    <w:rsid w:val="00BE38F3"/>
    <w:rsid w:val="00BE3B3F"/>
    <w:rsid w:val="00BE3C06"/>
    <w:rsid w:val="00BE3C09"/>
    <w:rsid w:val="00BE44C9"/>
    <w:rsid w:val="00BE459F"/>
    <w:rsid w:val="00BE496C"/>
    <w:rsid w:val="00BE4C94"/>
    <w:rsid w:val="00BE4CF2"/>
    <w:rsid w:val="00BE4E92"/>
    <w:rsid w:val="00BE515C"/>
    <w:rsid w:val="00BE54FB"/>
    <w:rsid w:val="00BE57A3"/>
    <w:rsid w:val="00BE5CC8"/>
    <w:rsid w:val="00BE6AF7"/>
    <w:rsid w:val="00BE6C5C"/>
    <w:rsid w:val="00BE7125"/>
    <w:rsid w:val="00BE71D1"/>
    <w:rsid w:val="00BE73F9"/>
    <w:rsid w:val="00BE79D2"/>
    <w:rsid w:val="00BE7BAC"/>
    <w:rsid w:val="00BE7EF5"/>
    <w:rsid w:val="00BF0016"/>
    <w:rsid w:val="00BF0A33"/>
    <w:rsid w:val="00BF0BA7"/>
    <w:rsid w:val="00BF0CCD"/>
    <w:rsid w:val="00BF0F46"/>
    <w:rsid w:val="00BF114A"/>
    <w:rsid w:val="00BF118C"/>
    <w:rsid w:val="00BF13AC"/>
    <w:rsid w:val="00BF161D"/>
    <w:rsid w:val="00BF1650"/>
    <w:rsid w:val="00BF1775"/>
    <w:rsid w:val="00BF2045"/>
    <w:rsid w:val="00BF218F"/>
    <w:rsid w:val="00BF260A"/>
    <w:rsid w:val="00BF2C4C"/>
    <w:rsid w:val="00BF2C72"/>
    <w:rsid w:val="00BF3204"/>
    <w:rsid w:val="00BF3771"/>
    <w:rsid w:val="00BF381D"/>
    <w:rsid w:val="00BF3E3F"/>
    <w:rsid w:val="00BF3E5E"/>
    <w:rsid w:val="00BF4142"/>
    <w:rsid w:val="00BF4513"/>
    <w:rsid w:val="00BF4584"/>
    <w:rsid w:val="00BF46BD"/>
    <w:rsid w:val="00BF47AB"/>
    <w:rsid w:val="00BF4D75"/>
    <w:rsid w:val="00BF515D"/>
    <w:rsid w:val="00BF54FB"/>
    <w:rsid w:val="00BF5CDA"/>
    <w:rsid w:val="00BF5CEF"/>
    <w:rsid w:val="00BF5D92"/>
    <w:rsid w:val="00BF6235"/>
    <w:rsid w:val="00BF624D"/>
    <w:rsid w:val="00BF62E6"/>
    <w:rsid w:val="00BF69DF"/>
    <w:rsid w:val="00BF6AC8"/>
    <w:rsid w:val="00BF6E58"/>
    <w:rsid w:val="00BF7229"/>
    <w:rsid w:val="00BF72FE"/>
    <w:rsid w:val="00BF7636"/>
    <w:rsid w:val="00BF7916"/>
    <w:rsid w:val="00BF7929"/>
    <w:rsid w:val="00BF7BBD"/>
    <w:rsid w:val="00BF7D46"/>
    <w:rsid w:val="00C002C5"/>
    <w:rsid w:val="00C00403"/>
    <w:rsid w:val="00C00A97"/>
    <w:rsid w:val="00C00C08"/>
    <w:rsid w:val="00C00C20"/>
    <w:rsid w:val="00C00C65"/>
    <w:rsid w:val="00C00D3C"/>
    <w:rsid w:val="00C00DC9"/>
    <w:rsid w:val="00C00F4E"/>
    <w:rsid w:val="00C01072"/>
    <w:rsid w:val="00C010A8"/>
    <w:rsid w:val="00C017BE"/>
    <w:rsid w:val="00C0185E"/>
    <w:rsid w:val="00C019D5"/>
    <w:rsid w:val="00C01CD6"/>
    <w:rsid w:val="00C01D43"/>
    <w:rsid w:val="00C0234B"/>
    <w:rsid w:val="00C023E4"/>
    <w:rsid w:val="00C02567"/>
    <w:rsid w:val="00C02610"/>
    <w:rsid w:val="00C026F4"/>
    <w:rsid w:val="00C027FB"/>
    <w:rsid w:val="00C02E0E"/>
    <w:rsid w:val="00C030F1"/>
    <w:rsid w:val="00C036C0"/>
    <w:rsid w:val="00C0377D"/>
    <w:rsid w:val="00C038AA"/>
    <w:rsid w:val="00C0394D"/>
    <w:rsid w:val="00C03DD6"/>
    <w:rsid w:val="00C04196"/>
    <w:rsid w:val="00C041E3"/>
    <w:rsid w:val="00C04C32"/>
    <w:rsid w:val="00C04C4B"/>
    <w:rsid w:val="00C04D27"/>
    <w:rsid w:val="00C05361"/>
    <w:rsid w:val="00C057AA"/>
    <w:rsid w:val="00C05ACA"/>
    <w:rsid w:val="00C05C01"/>
    <w:rsid w:val="00C060E7"/>
    <w:rsid w:val="00C0655F"/>
    <w:rsid w:val="00C069FE"/>
    <w:rsid w:val="00C06E47"/>
    <w:rsid w:val="00C070F8"/>
    <w:rsid w:val="00C0754B"/>
    <w:rsid w:val="00C075A4"/>
    <w:rsid w:val="00C07B05"/>
    <w:rsid w:val="00C07B90"/>
    <w:rsid w:val="00C10771"/>
    <w:rsid w:val="00C10957"/>
    <w:rsid w:val="00C1132A"/>
    <w:rsid w:val="00C114BE"/>
    <w:rsid w:val="00C116EF"/>
    <w:rsid w:val="00C1172B"/>
    <w:rsid w:val="00C118F2"/>
    <w:rsid w:val="00C11957"/>
    <w:rsid w:val="00C11F2A"/>
    <w:rsid w:val="00C1205A"/>
    <w:rsid w:val="00C12403"/>
    <w:rsid w:val="00C1272C"/>
    <w:rsid w:val="00C12848"/>
    <w:rsid w:val="00C1288E"/>
    <w:rsid w:val="00C129C4"/>
    <w:rsid w:val="00C12A52"/>
    <w:rsid w:val="00C12BB4"/>
    <w:rsid w:val="00C12D9C"/>
    <w:rsid w:val="00C12F13"/>
    <w:rsid w:val="00C135E6"/>
    <w:rsid w:val="00C13D13"/>
    <w:rsid w:val="00C13F37"/>
    <w:rsid w:val="00C1400C"/>
    <w:rsid w:val="00C143D5"/>
    <w:rsid w:val="00C15010"/>
    <w:rsid w:val="00C151F7"/>
    <w:rsid w:val="00C15A60"/>
    <w:rsid w:val="00C160B2"/>
    <w:rsid w:val="00C16272"/>
    <w:rsid w:val="00C16367"/>
    <w:rsid w:val="00C16527"/>
    <w:rsid w:val="00C1686B"/>
    <w:rsid w:val="00C1690F"/>
    <w:rsid w:val="00C16BC9"/>
    <w:rsid w:val="00C16D8A"/>
    <w:rsid w:val="00C171AE"/>
    <w:rsid w:val="00C17798"/>
    <w:rsid w:val="00C17A21"/>
    <w:rsid w:val="00C20110"/>
    <w:rsid w:val="00C205B9"/>
    <w:rsid w:val="00C2091D"/>
    <w:rsid w:val="00C20AE7"/>
    <w:rsid w:val="00C215D0"/>
    <w:rsid w:val="00C21853"/>
    <w:rsid w:val="00C219B8"/>
    <w:rsid w:val="00C21CB0"/>
    <w:rsid w:val="00C222CC"/>
    <w:rsid w:val="00C223E7"/>
    <w:rsid w:val="00C22559"/>
    <w:rsid w:val="00C226B0"/>
    <w:rsid w:val="00C22AB4"/>
    <w:rsid w:val="00C22AD6"/>
    <w:rsid w:val="00C22D23"/>
    <w:rsid w:val="00C22F77"/>
    <w:rsid w:val="00C2302B"/>
    <w:rsid w:val="00C230B5"/>
    <w:rsid w:val="00C23352"/>
    <w:rsid w:val="00C2373B"/>
    <w:rsid w:val="00C23802"/>
    <w:rsid w:val="00C2399F"/>
    <w:rsid w:val="00C239FD"/>
    <w:rsid w:val="00C23A90"/>
    <w:rsid w:val="00C23B62"/>
    <w:rsid w:val="00C23B94"/>
    <w:rsid w:val="00C241CA"/>
    <w:rsid w:val="00C2429E"/>
    <w:rsid w:val="00C24332"/>
    <w:rsid w:val="00C2434A"/>
    <w:rsid w:val="00C2440C"/>
    <w:rsid w:val="00C24505"/>
    <w:rsid w:val="00C248FC"/>
    <w:rsid w:val="00C249B2"/>
    <w:rsid w:val="00C24ECF"/>
    <w:rsid w:val="00C25366"/>
    <w:rsid w:val="00C25BB1"/>
    <w:rsid w:val="00C25BD8"/>
    <w:rsid w:val="00C25D21"/>
    <w:rsid w:val="00C25E10"/>
    <w:rsid w:val="00C26164"/>
    <w:rsid w:val="00C26989"/>
    <w:rsid w:val="00C26CF4"/>
    <w:rsid w:val="00C26D1A"/>
    <w:rsid w:val="00C26DDA"/>
    <w:rsid w:val="00C2712E"/>
    <w:rsid w:val="00C2713D"/>
    <w:rsid w:val="00C27846"/>
    <w:rsid w:val="00C27BB5"/>
    <w:rsid w:val="00C3043F"/>
    <w:rsid w:val="00C30D9F"/>
    <w:rsid w:val="00C30FD9"/>
    <w:rsid w:val="00C31111"/>
    <w:rsid w:val="00C31209"/>
    <w:rsid w:val="00C31697"/>
    <w:rsid w:val="00C3182C"/>
    <w:rsid w:val="00C3191D"/>
    <w:rsid w:val="00C31998"/>
    <w:rsid w:val="00C31F58"/>
    <w:rsid w:val="00C322A3"/>
    <w:rsid w:val="00C324D3"/>
    <w:rsid w:val="00C3272C"/>
    <w:rsid w:val="00C32A6A"/>
    <w:rsid w:val="00C32BBF"/>
    <w:rsid w:val="00C32CC2"/>
    <w:rsid w:val="00C32EF4"/>
    <w:rsid w:val="00C33073"/>
    <w:rsid w:val="00C330A2"/>
    <w:rsid w:val="00C332D7"/>
    <w:rsid w:val="00C33321"/>
    <w:rsid w:val="00C335CF"/>
    <w:rsid w:val="00C337AB"/>
    <w:rsid w:val="00C337D5"/>
    <w:rsid w:val="00C33847"/>
    <w:rsid w:val="00C33881"/>
    <w:rsid w:val="00C338D9"/>
    <w:rsid w:val="00C33B3C"/>
    <w:rsid w:val="00C33DBC"/>
    <w:rsid w:val="00C33F2A"/>
    <w:rsid w:val="00C3448B"/>
    <w:rsid w:val="00C3455A"/>
    <w:rsid w:val="00C345A3"/>
    <w:rsid w:val="00C34B36"/>
    <w:rsid w:val="00C34CB3"/>
    <w:rsid w:val="00C35395"/>
    <w:rsid w:val="00C35573"/>
    <w:rsid w:val="00C356F6"/>
    <w:rsid w:val="00C35717"/>
    <w:rsid w:val="00C358A8"/>
    <w:rsid w:val="00C359BB"/>
    <w:rsid w:val="00C359D4"/>
    <w:rsid w:val="00C35B64"/>
    <w:rsid w:val="00C35CDD"/>
    <w:rsid w:val="00C35DDE"/>
    <w:rsid w:val="00C35EF5"/>
    <w:rsid w:val="00C364A1"/>
    <w:rsid w:val="00C36789"/>
    <w:rsid w:val="00C3699B"/>
    <w:rsid w:val="00C36AD3"/>
    <w:rsid w:val="00C36AE9"/>
    <w:rsid w:val="00C36CF5"/>
    <w:rsid w:val="00C36CF7"/>
    <w:rsid w:val="00C3756F"/>
    <w:rsid w:val="00C37B97"/>
    <w:rsid w:val="00C4012C"/>
    <w:rsid w:val="00C4013A"/>
    <w:rsid w:val="00C40177"/>
    <w:rsid w:val="00C40189"/>
    <w:rsid w:val="00C40269"/>
    <w:rsid w:val="00C40298"/>
    <w:rsid w:val="00C40483"/>
    <w:rsid w:val="00C40783"/>
    <w:rsid w:val="00C408B0"/>
    <w:rsid w:val="00C40CFC"/>
    <w:rsid w:val="00C40D08"/>
    <w:rsid w:val="00C4109C"/>
    <w:rsid w:val="00C41558"/>
    <w:rsid w:val="00C415D4"/>
    <w:rsid w:val="00C41AA9"/>
    <w:rsid w:val="00C422F4"/>
    <w:rsid w:val="00C42767"/>
    <w:rsid w:val="00C42878"/>
    <w:rsid w:val="00C428E1"/>
    <w:rsid w:val="00C4295F"/>
    <w:rsid w:val="00C42A5C"/>
    <w:rsid w:val="00C42DF7"/>
    <w:rsid w:val="00C43101"/>
    <w:rsid w:val="00C434B6"/>
    <w:rsid w:val="00C43FBC"/>
    <w:rsid w:val="00C440AD"/>
    <w:rsid w:val="00C44270"/>
    <w:rsid w:val="00C4449D"/>
    <w:rsid w:val="00C447BA"/>
    <w:rsid w:val="00C447BF"/>
    <w:rsid w:val="00C448D7"/>
    <w:rsid w:val="00C44C52"/>
    <w:rsid w:val="00C44FB8"/>
    <w:rsid w:val="00C45019"/>
    <w:rsid w:val="00C451D1"/>
    <w:rsid w:val="00C451FB"/>
    <w:rsid w:val="00C4548C"/>
    <w:rsid w:val="00C4557D"/>
    <w:rsid w:val="00C45718"/>
    <w:rsid w:val="00C45B3E"/>
    <w:rsid w:val="00C461DE"/>
    <w:rsid w:val="00C46368"/>
    <w:rsid w:val="00C46385"/>
    <w:rsid w:val="00C46621"/>
    <w:rsid w:val="00C46C1A"/>
    <w:rsid w:val="00C46C35"/>
    <w:rsid w:val="00C46DBB"/>
    <w:rsid w:val="00C46EEA"/>
    <w:rsid w:val="00C47133"/>
    <w:rsid w:val="00C475E8"/>
    <w:rsid w:val="00C47623"/>
    <w:rsid w:val="00C478FE"/>
    <w:rsid w:val="00C47EF7"/>
    <w:rsid w:val="00C47F6A"/>
    <w:rsid w:val="00C50191"/>
    <w:rsid w:val="00C50423"/>
    <w:rsid w:val="00C50427"/>
    <w:rsid w:val="00C505A5"/>
    <w:rsid w:val="00C50623"/>
    <w:rsid w:val="00C507B7"/>
    <w:rsid w:val="00C50812"/>
    <w:rsid w:val="00C50822"/>
    <w:rsid w:val="00C50A35"/>
    <w:rsid w:val="00C50BA1"/>
    <w:rsid w:val="00C50D8C"/>
    <w:rsid w:val="00C510CC"/>
    <w:rsid w:val="00C516A0"/>
    <w:rsid w:val="00C51944"/>
    <w:rsid w:val="00C51DAD"/>
    <w:rsid w:val="00C5262A"/>
    <w:rsid w:val="00C52BB8"/>
    <w:rsid w:val="00C52CB4"/>
    <w:rsid w:val="00C5316B"/>
    <w:rsid w:val="00C5327F"/>
    <w:rsid w:val="00C534AF"/>
    <w:rsid w:val="00C5364C"/>
    <w:rsid w:val="00C53679"/>
    <w:rsid w:val="00C5373A"/>
    <w:rsid w:val="00C53805"/>
    <w:rsid w:val="00C538F6"/>
    <w:rsid w:val="00C5395D"/>
    <w:rsid w:val="00C53B35"/>
    <w:rsid w:val="00C53F0C"/>
    <w:rsid w:val="00C5407D"/>
    <w:rsid w:val="00C54622"/>
    <w:rsid w:val="00C546F4"/>
    <w:rsid w:val="00C54A0B"/>
    <w:rsid w:val="00C54B5C"/>
    <w:rsid w:val="00C54E91"/>
    <w:rsid w:val="00C54F4F"/>
    <w:rsid w:val="00C550D9"/>
    <w:rsid w:val="00C5533A"/>
    <w:rsid w:val="00C554F8"/>
    <w:rsid w:val="00C55515"/>
    <w:rsid w:val="00C55761"/>
    <w:rsid w:val="00C5585C"/>
    <w:rsid w:val="00C559E1"/>
    <w:rsid w:val="00C55A68"/>
    <w:rsid w:val="00C55E1D"/>
    <w:rsid w:val="00C55F2D"/>
    <w:rsid w:val="00C55F54"/>
    <w:rsid w:val="00C56055"/>
    <w:rsid w:val="00C56262"/>
    <w:rsid w:val="00C56379"/>
    <w:rsid w:val="00C564DE"/>
    <w:rsid w:val="00C56C7B"/>
    <w:rsid w:val="00C56EA1"/>
    <w:rsid w:val="00C56EFD"/>
    <w:rsid w:val="00C56F55"/>
    <w:rsid w:val="00C56FF9"/>
    <w:rsid w:val="00C57196"/>
    <w:rsid w:val="00C5728E"/>
    <w:rsid w:val="00C57DFB"/>
    <w:rsid w:val="00C57FE0"/>
    <w:rsid w:val="00C601FE"/>
    <w:rsid w:val="00C60223"/>
    <w:rsid w:val="00C6056D"/>
    <w:rsid w:val="00C607D6"/>
    <w:rsid w:val="00C60B42"/>
    <w:rsid w:val="00C60CA9"/>
    <w:rsid w:val="00C60D70"/>
    <w:rsid w:val="00C60F08"/>
    <w:rsid w:val="00C60F58"/>
    <w:rsid w:val="00C610B2"/>
    <w:rsid w:val="00C6130B"/>
    <w:rsid w:val="00C613C2"/>
    <w:rsid w:val="00C616DC"/>
    <w:rsid w:val="00C61892"/>
    <w:rsid w:val="00C619F1"/>
    <w:rsid w:val="00C61C74"/>
    <w:rsid w:val="00C61E74"/>
    <w:rsid w:val="00C61EDB"/>
    <w:rsid w:val="00C62402"/>
    <w:rsid w:val="00C6243E"/>
    <w:rsid w:val="00C6266D"/>
    <w:rsid w:val="00C629DC"/>
    <w:rsid w:val="00C634B7"/>
    <w:rsid w:val="00C63AC2"/>
    <w:rsid w:val="00C63AC7"/>
    <w:rsid w:val="00C63FC6"/>
    <w:rsid w:val="00C6408E"/>
    <w:rsid w:val="00C64179"/>
    <w:rsid w:val="00C643B1"/>
    <w:rsid w:val="00C64ADE"/>
    <w:rsid w:val="00C64C4A"/>
    <w:rsid w:val="00C64DCB"/>
    <w:rsid w:val="00C65265"/>
    <w:rsid w:val="00C653B5"/>
    <w:rsid w:val="00C65512"/>
    <w:rsid w:val="00C65571"/>
    <w:rsid w:val="00C656F2"/>
    <w:rsid w:val="00C65B79"/>
    <w:rsid w:val="00C65F85"/>
    <w:rsid w:val="00C65FBF"/>
    <w:rsid w:val="00C662B4"/>
    <w:rsid w:val="00C66541"/>
    <w:rsid w:val="00C66B56"/>
    <w:rsid w:val="00C670DE"/>
    <w:rsid w:val="00C67138"/>
    <w:rsid w:val="00C67457"/>
    <w:rsid w:val="00C674BA"/>
    <w:rsid w:val="00C67B73"/>
    <w:rsid w:val="00C67E4F"/>
    <w:rsid w:val="00C67FD9"/>
    <w:rsid w:val="00C70109"/>
    <w:rsid w:val="00C703C4"/>
    <w:rsid w:val="00C70457"/>
    <w:rsid w:val="00C70597"/>
    <w:rsid w:val="00C70601"/>
    <w:rsid w:val="00C70A94"/>
    <w:rsid w:val="00C70C7C"/>
    <w:rsid w:val="00C70CB8"/>
    <w:rsid w:val="00C70CDE"/>
    <w:rsid w:val="00C70DC6"/>
    <w:rsid w:val="00C71738"/>
    <w:rsid w:val="00C7175C"/>
    <w:rsid w:val="00C71D60"/>
    <w:rsid w:val="00C71FA4"/>
    <w:rsid w:val="00C71FD9"/>
    <w:rsid w:val="00C726ED"/>
    <w:rsid w:val="00C72733"/>
    <w:rsid w:val="00C72CEA"/>
    <w:rsid w:val="00C72D25"/>
    <w:rsid w:val="00C73323"/>
    <w:rsid w:val="00C73326"/>
    <w:rsid w:val="00C735A6"/>
    <w:rsid w:val="00C7376B"/>
    <w:rsid w:val="00C73B9A"/>
    <w:rsid w:val="00C73D5C"/>
    <w:rsid w:val="00C74269"/>
    <w:rsid w:val="00C7439F"/>
    <w:rsid w:val="00C743EC"/>
    <w:rsid w:val="00C7487D"/>
    <w:rsid w:val="00C74955"/>
    <w:rsid w:val="00C74957"/>
    <w:rsid w:val="00C74C2D"/>
    <w:rsid w:val="00C74D6A"/>
    <w:rsid w:val="00C74DC5"/>
    <w:rsid w:val="00C74E38"/>
    <w:rsid w:val="00C752A1"/>
    <w:rsid w:val="00C7537E"/>
    <w:rsid w:val="00C754E0"/>
    <w:rsid w:val="00C7565F"/>
    <w:rsid w:val="00C75806"/>
    <w:rsid w:val="00C75B42"/>
    <w:rsid w:val="00C75E01"/>
    <w:rsid w:val="00C760ED"/>
    <w:rsid w:val="00C76500"/>
    <w:rsid w:val="00C7682C"/>
    <w:rsid w:val="00C76968"/>
    <w:rsid w:val="00C76E22"/>
    <w:rsid w:val="00C76ED4"/>
    <w:rsid w:val="00C77705"/>
    <w:rsid w:val="00C7799B"/>
    <w:rsid w:val="00C77DF8"/>
    <w:rsid w:val="00C77F6F"/>
    <w:rsid w:val="00C77FB2"/>
    <w:rsid w:val="00C80094"/>
    <w:rsid w:val="00C804CA"/>
    <w:rsid w:val="00C804D6"/>
    <w:rsid w:val="00C8069E"/>
    <w:rsid w:val="00C80837"/>
    <w:rsid w:val="00C80A6D"/>
    <w:rsid w:val="00C80ADD"/>
    <w:rsid w:val="00C80CE5"/>
    <w:rsid w:val="00C80D66"/>
    <w:rsid w:val="00C80E65"/>
    <w:rsid w:val="00C81285"/>
    <w:rsid w:val="00C812A7"/>
    <w:rsid w:val="00C81332"/>
    <w:rsid w:val="00C814D9"/>
    <w:rsid w:val="00C818D7"/>
    <w:rsid w:val="00C819A0"/>
    <w:rsid w:val="00C81D16"/>
    <w:rsid w:val="00C81D4D"/>
    <w:rsid w:val="00C81D6C"/>
    <w:rsid w:val="00C82201"/>
    <w:rsid w:val="00C8232A"/>
    <w:rsid w:val="00C825FB"/>
    <w:rsid w:val="00C82735"/>
    <w:rsid w:val="00C82A0F"/>
    <w:rsid w:val="00C82D4C"/>
    <w:rsid w:val="00C82FD5"/>
    <w:rsid w:val="00C83639"/>
    <w:rsid w:val="00C837EC"/>
    <w:rsid w:val="00C83B2D"/>
    <w:rsid w:val="00C8424C"/>
    <w:rsid w:val="00C84310"/>
    <w:rsid w:val="00C8448B"/>
    <w:rsid w:val="00C845DC"/>
    <w:rsid w:val="00C84795"/>
    <w:rsid w:val="00C849B4"/>
    <w:rsid w:val="00C84B02"/>
    <w:rsid w:val="00C84BF2"/>
    <w:rsid w:val="00C84F05"/>
    <w:rsid w:val="00C8503F"/>
    <w:rsid w:val="00C85621"/>
    <w:rsid w:val="00C85852"/>
    <w:rsid w:val="00C85B1C"/>
    <w:rsid w:val="00C85B81"/>
    <w:rsid w:val="00C85C8A"/>
    <w:rsid w:val="00C85EB8"/>
    <w:rsid w:val="00C8618B"/>
    <w:rsid w:val="00C8625F"/>
    <w:rsid w:val="00C865EF"/>
    <w:rsid w:val="00C8698D"/>
    <w:rsid w:val="00C86A1C"/>
    <w:rsid w:val="00C86CA0"/>
    <w:rsid w:val="00C86EC0"/>
    <w:rsid w:val="00C86EF3"/>
    <w:rsid w:val="00C86F1D"/>
    <w:rsid w:val="00C86F2A"/>
    <w:rsid w:val="00C86F36"/>
    <w:rsid w:val="00C87062"/>
    <w:rsid w:val="00C87150"/>
    <w:rsid w:val="00C8739E"/>
    <w:rsid w:val="00C8740C"/>
    <w:rsid w:val="00C8744F"/>
    <w:rsid w:val="00C877A2"/>
    <w:rsid w:val="00C87BAB"/>
    <w:rsid w:val="00C87C76"/>
    <w:rsid w:val="00C87F84"/>
    <w:rsid w:val="00C90216"/>
    <w:rsid w:val="00C902C7"/>
    <w:rsid w:val="00C90B82"/>
    <w:rsid w:val="00C9108A"/>
    <w:rsid w:val="00C914EE"/>
    <w:rsid w:val="00C91CF3"/>
    <w:rsid w:val="00C91DE6"/>
    <w:rsid w:val="00C91EE4"/>
    <w:rsid w:val="00C92014"/>
    <w:rsid w:val="00C921B9"/>
    <w:rsid w:val="00C92465"/>
    <w:rsid w:val="00C9255D"/>
    <w:rsid w:val="00C928F0"/>
    <w:rsid w:val="00C9299D"/>
    <w:rsid w:val="00C92D46"/>
    <w:rsid w:val="00C930F4"/>
    <w:rsid w:val="00C9331F"/>
    <w:rsid w:val="00C9370D"/>
    <w:rsid w:val="00C93A63"/>
    <w:rsid w:val="00C94075"/>
    <w:rsid w:val="00C942DB"/>
    <w:rsid w:val="00C944D8"/>
    <w:rsid w:val="00C94598"/>
    <w:rsid w:val="00C9489C"/>
    <w:rsid w:val="00C94AF4"/>
    <w:rsid w:val="00C94D1D"/>
    <w:rsid w:val="00C94D30"/>
    <w:rsid w:val="00C94E26"/>
    <w:rsid w:val="00C94F1E"/>
    <w:rsid w:val="00C95048"/>
    <w:rsid w:val="00C95548"/>
    <w:rsid w:val="00C956CD"/>
    <w:rsid w:val="00C95976"/>
    <w:rsid w:val="00C959F6"/>
    <w:rsid w:val="00C95AEC"/>
    <w:rsid w:val="00C95B62"/>
    <w:rsid w:val="00C95C1C"/>
    <w:rsid w:val="00C960DB"/>
    <w:rsid w:val="00C961AD"/>
    <w:rsid w:val="00C9624E"/>
    <w:rsid w:val="00C96359"/>
    <w:rsid w:val="00C964C8"/>
    <w:rsid w:val="00C96574"/>
    <w:rsid w:val="00C966A8"/>
    <w:rsid w:val="00C96A6F"/>
    <w:rsid w:val="00C96E2C"/>
    <w:rsid w:val="00C97098"/>
    <w:rsid w:val="00C9719C"/>
    <w:rsid w:val="00C977A3"/>
    <w:rsid w:val="00C977EB"/>
    <w:rsid w:val="00C97DD7"/>
    <w:rsid w:val="00CA04F8"/>
    <w:rsid w:val="00CA0578"/>
    <w:rsid w:val="00CA0779"/>
    <w:rsid w:val="00CA08F2"/>
    <w:rsid w:val="00CA0B9C"/>
    <w:rsid w:val="00CA0D47"/>
    <w:rsid w:val="00CA0E66"/>
    <w:rsid w:val="00CA0F98"/>
    <w:rsid w:val="00CA13E6"/>
    <w:rsid w:val="00CA16F6"/>
    <w:rsid w:val="00CA1F99"/>
    <w:rsid w:val="00CA2618"/>
    <w:rsid w:val="00CA2748"/>
    <w:rsid w:val="00CA297C"/>
    <w:rsid w:val="00CA2ADE"/>
    <w:rsid w:val="00CA2BBD"/>
    <w:rsid w:val="00CA2C70"/>
    <w:rsid w:val="00CA2D6C"/>
    <w:rsid w:val="00CA2E8A"/>
    <w:rsid w:val="00CA3131"/>
    <w:rsid w:val="00CA315A"/>
    <w:rsid w:val="00CA364B"/>
    <w:rsid w:val="00CA384D"/>
    <w:rsid w:val="00CA3FE2"/>
    <w:rsid w:val="00CA402B"/>
    <w:rsid w:val="00CA40CB"/>
    <w:rsid w:val="00CA40CF"/>
    <w:rsid w:val="00CA4BCC"/>
    <w:rsid w:val="00CA4EBB"/>
    <w:rsid w:val="00CA5000"/>
    <w:rsid w:val="00CA5251"/>
    <w:rsid w:val="00CA53F2"/>
    <w:rsid w:val="00CA540D"/>
    <w:rsid w:val="00CA57D9"/>
    <w:rsid w:val="00CA5843"/>
    <w:rsid w:val="00CA586B"/>
    <w:rsid w:val="00CA58FF"/>
    <w:rsid w:val="00CA598F"/>
    <w:rsid w:val="00CA6103"/>
    <w:rsid w:val="00CA641F"/>
    <w:rsid w:val="00CA6904"/>
    <w:rsid w:val="00CA6BA1"/>
    <w:rsid w:val="00CA72A8"/>
    <w:rsid w:val="00CA7312"/>
    <w:rsid w:val="00CA7845"/>
    <w:rsid w:val="00CA7AA8"/>
    <w:rsid w:val="00CA7C14"/>
    <w:rsid w:val="00CA7C8D"/>
    <w:rsid w:val="00CA7CC1"/>
    <w:rsid w:val="00CA7DD8"/>
    <w:rsid w:val="00CB0240"/>
    <w:rsid w:val="00CB03A1"/>
    <w:rsid w:val="00CB0811"/>
    <w:rsid w:val="00CB09DC"/>
    <w:rsid w:val="00CB14B2"/>
    <w:rsid w:val="00CB14E9"/>
    <w:rsid w:val="00CB16ED"/>
    <w:rsid w:val="00CB17C4"/>
    <w:rsid w:val="00CB17DD"/>
    <w:rsid w:val="00CB1D6D"/>
    <w:rsid w:val="00CB1FCD"/>
    <w:rsid w:val="00CB253B"/>
    <w:rsid w:val="00CB2830"/>
    <w:rsid w:val="00CB2E05"/>
    <w:rsid w:val="00CB2F03"/>
    <w:rsid w:val="00CB2F50"/>
    <w:rsid w:val="00CB361A"/>
    <w:rsid w:val="00CB39E9"/>
    <w:rsid w:val="00CB3AD9"/>
    <w:rsid w:val="00CB3AFD"/>
    <w:rsid w:val="00CB3D99"/>
    <w:rsid w:val="00CB4022"/>
    <w:rsid w:val="00CB430D"/>
    <w:rsid w:val="00CB461C"/>
    <w:rsid w:val="00CB46E6"/>
    <w:rsid w:val="00CB4B2F"/>
    <w:rsid w:val="00CB53FF"/>
    <w:rsid w:val="00CB54FB"/>
    <w:rsid w:val="00CB589B"/>
    <w:rsid w:val="00CB590D"/>
    <w:rsid w:val="00CB607A"/>
    <w:rsid w:val="00CB610F"/>
    <w:rsid w:val="00CB63D0"/>
    <w:rsid w:val="00CB68AF"/>
    <w:rsid w:val="00CB6A6B"/>
    <w:rsid w:val="00CB6C2A"/>
    <w:rsid w:val="00CB6D60"/>
    <w:rsid w:val="00CB7028"/>
    <w:rsid w:val="00CB7121"/>
    <w:rsid w:val="00CB7494"/>
    <w:rsid w:val="00CB758D"/>
    <w:rsid w:val="00CB76CD"/>
    <w:rsid w:val="00CB7C82"/>
    <w:rsid w:val="00CB7D84"/>
    <w:rsid w:val="00CB7FF9"/>
    <w:rsid w:val="00CC0089"/>
    <w:rsid w:val="00CC02D6"/>
    <w:rsid w:val="00CC0587"/>
    <w:rsid w:val="00CC0C2C"/>
    <w:rsid w:val="00CC0C53"/>
    <w:rsid w:val="00CC11BE"/>
    <w:rsid w:val="00CC185E"/>
    <w:rsid w:val="00CC1ABD"/>
    <w:rsid w:val="00CC1FAD"/>
    <w:rsid w:val="00CC200C"/>
    <w:rsid w:val="00CC219D"/>
    <w:rsid w:val="00CC22BD"/>
    <w:rsid w:val="00CC22C8"/>
    <w:rsid w:val="00CC2773"/>
    <w:rsid w:val="00CC2B13"/>
    <w:rsid w:val="00CC3169"/>
    <w:rsid w:val="00CC3248"/>
    <w:rsid w:val="00CC35F6"/>
    <w:rsid w:val="00CC36B7"/>
    <w:rsid w:val="00CC3712"/>
    <w:rsid w:val="00CC3747"/>
    <w:rsid w:val="00CC3AAC"/>
    <w:rsid w:val="00CC4065"/>
    <w:rsid w:val="00CC41F0"/>
    <w:rsid w:val="00CC421B"/>
    <w:rsid w:val="00CC42A2"/>
    <w:rsid w:val="00CC4386"/>
    <w:rsid w:val="00CC45B6"/>
    <w:rsid w:val="00CC4724"/>
    <w:rsid w:val="00CC47DC"/>
    <w:rsid w:val="00CC4A70"/>
    <w:rsid w:val="00CC4BD1"/>
    <w:rsid w:val="00CC4F80"/>
    <w:rsid w:val="00CC4FFF"/>
    <w:rsid w:val="00CC5118"/>
    <w:rsid w:val="00CC5340"/>
    <w:rsid w:val="00CC5546"/>
    <w:rsid w:val="00CC564E"/>
    <w:rsid w:val="00CC5CFB"/>
    <w:rsid w:val="00CC5E7A"/>
    <w:rsid w:val="00CC5F69"/>
    <w:rsid w:val="00CC6386"/>
    <w:rsid w:val="00CC68C8"/>
    <w:rsid w:val="00CC6BCF"/>
    <w:rsid w:val="00CC6E59"/>
    <w:rsid w:val="00CC6FFA"/>
    <w:rsid w:val="00CC759A"/>
    <w:rsid w:val="00CC7778"/>
    <w:rsid w:val="00CC7AE7"/>
    <w:rsid w:val="00CC7BCA"/>
    <w:rsid w:val="00CC7C4F"/>
    <w:rsid w:val="00CD001A"/>
    <w:rsid w:val="00CD018A"/>
    <w:rsid w:val="00CD04C6"/>
    <w:rsid w:val="00CD08C2"/>
    <w:rsid w:val="00CD0A04"/>
    <w:rsid w:val="00CD16CE"/>
    <w:rsid w:val="00CD1934"/>
    <w:rsid w:val="00CD1D47"/>
    <w:rsid w:val="00CD1D78"/>
    <w:rsid w:val="00CD24A5"/>
    <w:rsid w:val="00CD27D4"/>
    <w:rsid w:val="00CD283F"/>
    <w:rsid w:val="00CD285F"/>
    <w:rsid w:val="00CD2B04"/>
    <w:rsid w:val="00CD2D0F"/>
    <w:rsid w:val="00CD3377"/>
    <w:rsid w:val="00CD339F"/>
    <w:rsid w:val="00CD34C7"/>
    <w:rsid w:val="00CD36E1"/>
    <w:rsid w:val="00CD39AA"/>
    <w:rsid w:val="00CD39B2"/>
    <w:rsid w:val="00CD3AB2"/>
    <w:rsid w:val="00CD3E86"/>
    <w:rsid w:val="00CD3F52"/>
    <w:rsid w:val="00CD40B5"/>
    <w:rsid w:val="00CD40BF"/>
    <w:rsid w:val="00CD44CC"/>
    <w:rsid w:val="00CD47CD"/>
    <w:rsid w:val="00CD4ECD"/>
    <w:rsid w:val="00CD5066"/>
    <w:rsid w:val="00CD53CA"/>
    <w:rsid w:val="00CD5790"/>
    <w:rsid w:val="00CD57B3"/>
    <w:rsid w:val="00CD5882"/>
    <w:rsid w:val="00CD6910"/>
    <w:rsid w:val="00CD69F3"/>
    <w:rsid w:val="00CD6A09"/>
    <w:rsid w:val="00CD6C8B"/>
    <w:rsid w:val="00CD7728"/>
    <w:rsid w:val="00CD79AC"/>
    <w:rsid w:val="00CD7EC2"/>
    <w:rsid w:val="00CE03D9"/>
    <w:rsid w:val="00CE04FD"/>
    <w:rsid w:val="00CE0D7D"/>
    <w:rsid w:val="00CE10B5"/>
    <w:rsid w:val="00CE1162"/>
    <w:rsid w:val="00CE13AD"/>
    <w:rsid w:val="00CE1636"/>
    <w:rsid w:val="00CE199D"/>
    <w:rsid w:val="00CE1AF0"/>
    <w:rsid w:val="00CE1C42"/>
    <w:rsid w:val="00CE1D07"/>
    <w:rsid w:val="00CE1E57"/>
    <w:rsid w:val="00CE1EF7"/>
    <w:rsid w:val="00CE21A2"/>
    <w:rsid w:val="00CE225B"/>
    <w:rsid w:val="00CE2841"/>
    <w:rsid w:val="00CE2856"/>
    <w:rsid w:val="00CE2E1C"/>
    <w:rsid w:val="00CE2E83"/>
    <w:rsid w:val="00CE2EFB"/>
    <w:rsid w:val="00CE2F0B"/>
    <w:rsid w:val="00CE2FF4"/>
    <w:rsid w:val="00CE3669"/>
    <w:rsid w:val="00CE36C2"/>
    <w:rsid w:val="00CE3946"/>
    <w:rsid w:val="00CE39FC"/>
    <w:rsid w:val="00CE3A72"/>
    <w:rsid w:val="00CE4037"/>
    <w:rsid w:val="00CE40AA"/>
    <w:rsid w:val="00CE4334"/>
    <w:rsid w:val="00CE44E5"/>
    <w:rsid w:val="00CE4DB9"/>
    <w:rsid w:val="00CE4E97"/>
    <w:rsid w:val="00CE4EF8"/>
    <w:rsid w:val="00CE4F45"/>
    <w:rsid w:val="00CE5654"/>
    <w:rsid w:val="00CE595D"/>
    <w:rsid w:val="00CE61C9"/>
    <w:rsid w:val="00CE6227"/>
    <w:rsid w:val="00CE6667"/>
    <w:rsid w:val="00CE6887"/>
    <w:rsid w:val="00CE6897"/>
    <w:rsid w:val="00CE70BE"/>
    <w:rsid w:val="00CE7223"/>
    <w:rsid w:val="00CE7B7D"/>
    <w:rsid w:val="00CE7F68"/>
    <w:rsid w:val="00CE9A66"/>
    <w:rsid w:val="00CF01C1"/>
    <w:rsid w:val="00CF0250"/>
    <w:rsid w:val="00CF0458"/>
    <w:rsid w:val="00CF0A8F"/>
    <w:rsid w:val="00CF0CA3"/>
    <w:rsid w:val="00CF1114"/>
    <w:rsid w:val="00CF1235"/>
    <w:rsid w:val="00CF141A"/>
    <w:rsid w:val="00CF1476"/>
    <w:rsid w:val="00CF1838"/>
    <w:rsid w:val="00CF236D"/>
    <w:rsid w:val="00CF257A"/>
    <w:rsid w:val="00CF26EB"/>
    <w:rsid w:val="00CF2B8A"/>
    <w:rsid w:val="00CF2BED"/>
    <w:rsid w:val="00CF35DE"/>
    <w:rsid w:val="00CF37A9"/>
    <w:rsid w:val="00CF3940"/>
    <w:rsid w:val="00CF3D8E"/>
    <w:rsid w:val="00CF3FEA"/>
    <w:rsid w:val="00CF409E"/>
    <w:rsid w:val="00CF418A"/>
    <w:rsid w:val="00CF4225"/>
    <w:rsid w:val="00CF4310"/>
    <w:rsid w:val="00CF44B8"/>
    <w:rsid w:val="00CF4585"/>
    <w:rsid w:val="00CF4701"/>
    <w:rsid w:val="00CF4B49"/>
    <w:rsid w:val="00CF4B60"/>
    <w:rsid w:val="00CF4D07"/>
    <w:rsid w:val="00CF4F07"/>
    <w:rsid w:val="00CF5051"/>
    <w:rsid w:val="00CF5145"/>
    <w:rsid w:val="00CF5295"/>
    <w:rsid w:val="00CF53FB"/>
    <w:rsid w:val="00CF5443"/>
    <w:rsid w:val="00CF5612"/>
    <w:rsid w:val="00CF57CB"/>
    <w:rsid w:val="00CF5893"/>
    <w:rsid w:val="00CF58EA"/>
    <w:rsid w:val="00CF5994"/>
    <w:rsid w:val="00CF5B2D"/>
    <w:rsid w:val="00CF5C52"/>
    <w:rsid w:val="00CF6019"/>
    <w:rsid w:val="00CF649C"/>
    <w:rsid w:val="00CF6C43"/>
    <w:rsid w:val="00CF7178"/>
    <w:rsid w:val="00CF7290"/>
    <w:rsid w:val="00CF7933"/>
    <w:rsid w:val="00CF7BBA"/>
    <w:rsid w:val="00CF7C72"/>
    <w:rsid w:val="00CF7E67"/>
    <w:rsid w:val="00CF7F7B"/>
    <w:rsid w:val="00D00045"/>
    <w:rsid w:val="00D000E8"/>
    <w:rsid w:val="00D00588"/>
    <w:rsid w:val="00D00760"/>
    <w:rsid w:val="00D00882"/>
    <w:rsid w:val="00D00927"/>
    <w:rsid w:val="00D00BC2"/>
    <w:rsid w:val="00D01544"/>
    <w:rsid w:val="00D015B7"/>
    <w:rsid w:val="00D01B0E"/>
    <w:rsid w:val="00D01B44"/>
    <w:rsid w:val="00D01BDD"/>
    <w:rsid w:val="00D01C88"/>
    <w:rsid w:val="00D01CE4"/>
    <w:rsid w:val="00D01D7B"/>
    <w:rsid w:val="00D01FEE"/>
    <w:rsid w:val="00D02019"/>
    <w:rsid w:val="00D0208C"/>
    <w:rsid w:val="00D0264E"/>
    <w:rsid w:val="00D0272B"/>
    <w:rsid w:val="00D02B78"/>
    <w:rsid w:val="00D02FBE"/>
    <w:rsid w:val="00D03548"/>
    <w:rsid w:val="00D03B80"/>
    <w:rsid w:val="00D03CFA"/>
    <w:rsid w:val="00D03D00"/>
    <w:rsid w:val="00D03D9E"/>
    <w:rsid w:val="00D03FCB"/>
    <w:rsid w:val="00D04B48"/>
    <w:rsid w:val="00D04B9C"/>
    <w:rsid w:val="00D04BD8"/>
    <w:rsid w:val="00D04DE3"/>
    <w:rsid w:val="00D04F5E"/>
    <w:rsid w:val="00D0512A"/>
    <w:rsid w:val="00D05718"/>
    <w:rsid w:val="00D05923"/>
    <w:rsid w:val="00D05B3B"/>
    <w:rsid w:val="00D0606A"/>
    <w:rsid w:val="00D060B6"/>
    <w:rsid w:val="00D062AB"/>
    <w:rsid w:val="00D064C4"/>
    <w:rsid w:val="00D065FF"/>
    <w:rsid w:val="00D068C3"/>
    <w:rsid w:val="00D06C37"/>
    <w:rsid w:val="00D07024"/>
    <w:rsid w:val="00D07111"/>
    <w:rsid w:val="00D07133"/>
    <w:rsid w:val="00D07240"/>
    <w:rsid w:val="00D0725D"/>
    <w:rsid w:val="00D07348"/>
    <w:rsid w:val="00D07823"/>
    <w:rsid w:val="00D07C39"/>
    <w:rsid w:val="00D07C68"/>
    <w:rsid w:val="00D07C6F"/>
    <w:rsid w:val="00D07DFE"/>
    <w:rsid w:val="00D07F15"/>
    <w:rsid w:val="00D10C7F"/>
    <w:rsid w:val="00D11397"/>
    <w:rsid w:val="00D11519"/>
    <w:rsid w:val="00D11591"/>
    <w:rsid w:val="00D11720"/>
    <w:rsid w:val="00D117AB"/>
    <w:rsid w:val="00D11B43"/>
    <w:rsid w:val="00D11BB8"/>
    <w:rsid w:val="00D11D88"/>
    <w:rsid w:val="00D12AFA"/>
    <w:rsid w:val="00D12EA9"/>
    <w:rsid w:val="00D12F88"/>
    <w:rsid w:val="00D13455"/>
    <w:rsid w:val="00D13578"/>
    <w:rsid w:val="00D1364C"/>
    <w:rsid w:val="00D13688"/>
    <w:rsid w:val="00D1378B"/>
    <w:rsid w:val="00D13AF8"/>
    <w:rsid w:val="00D13E77"/>
    <w:rsid w:val="00D141B4"/>
    <w:rsid w:val="00D14209"/>
    <w:rsid w:val="00D1443A"/>
    <w:rsid w:val="00D144CE"/>
    <w:rsid w:val="00D146DD"/>
    <w:rsid w:val="00D14BF9"/>
    <w:rsid w:val="00D14D47"/>
    <w:rsid w:val="00D15160"/>
    <w:rsid w:val="00D151F0"/>
    <w:rsid w:val="00D15733"/>
    <w:rsid w:val="00D15854"/>
    <w:rsid w:val="00D1599C"/>
    <w:rsid w:val="00D16B5E"/>
    <w:rsid w:val="00D16B70"/>
    <w:rsid w:val="00D16CAA"/>
    <w:rsid w:val="00D16F1F"/>
    <w:rsid w:val="00D16FAC"/>
    <w:rsid w:val="00D170E0"/>
    <w:rsid w:val="00D1724B"/>
    <w:rsid w:val="00D17A7C"/>
    <w:rsid w:val="00D17CA8"/>
    <w:rsid w:val="00D17F83"/>
    <w:rsid w:val="00D204CA"/>
    <w:rsid w:val="00D20683"/>
    <w:rsid w:val="00D208A2"/>
    <w:rsid w:val="00D2091B"/>
    <w:rsid w:val="00D20E3E"/>
    <w:rsid w:val="00D20FBC"/>
    <w:rsid w:val="00D20FD1"/>
    <w:rsid w:val="00D212BD"/>
    <w:rsid w:val="00D21504"/>
    <w:rsid w:val="00D21D78"/>
    <w:rsid w:val="00D21FE3"/>
    <w:rsid w:val="00D22038"/>
    <w:rsid w:val="00D22457"/>
    <w:rsid w:val="00D2270B"/>
    <w:rsid w:val="00D227C0"/>
    <w:rsid w:val="00D227C1"/>
    <w:rsid w:val="00D227E1"/>
    <w:rsid w:val="00D22B56"/>
    <w:rsid w:val="00D22ECC"/>
    <w:rsid w:val="00D231C1"/>
    <w:rsid w:val="00D235D7"/>
    <w:rsid w:val="00D23D35"/>
    <w:rsid w:val="00D23F71"/>
    <w:rsid w:val="00D24091"/>
    <w:rsid w:val="00D241BF"/>
    <w:rsid w:val="00D243DF"/>
    <w:rsid w:val="00D24B33"/>
    <w:rsid w:val="00D24E44"/>
    <w:rsid w:val="00D25054"/>
    <w:rsid w:val="00D25073"/>
    <w:rsid w:val="00D256FE"/>
    <w:rsid w:val="00D2599A"/>
    <w:rsid w:val="00D259AA"/>
    <w:rsid w:val="00D25B1B"/>
    <w:rsid w:val="00D26036"/>
    <w:rsid w:val="00D261C3"/>
    <w:rsid w:val="00D26764"/>
    <w:rsid w:val="00D267FE"/>
    <w:rsid w:val="00D26CE4"/>
    <w:rsid w:val="00D26D7E"/>
    <w:rsid w:val="00D26DCD"/>
    <w:rsid w:val="00D26EC1"/>
    <w:rsid w:val="00D26F53"/>
    <w:rsid w:val="00D27214"/>
    <w:rsid w:val="00D27460"/>
    <w:rsid w:val="00D274D3"/>
    <w:rsid w:val="00D27651"/>
    <w:rsid w:val="00D27936"/>
    <w:rsid w:val="00D30103"/>
    <w:rsid w:val="00D3016D"/>
    <w:rsid w:val="00D30373"/>
    <w:rsid w:val="00D308A2"/>
    <w:rsid w:val="00D30985"/>
    <w:rsid w:val="00D312CA"/>
    <w:rsid w:val="00D31497"/>
    <w:rsid w:val="00D31531"/>
    <w:rsid w:val="00D3175F"/>
    <w:rsid w:val="00D31850"/>
    <w:rsid w:val="00D3185D"/>
    <w:rsid w:val="00D31B1A"/>
    <w:rsid w:val="00D31BBA"/>
    <w:rsid w:val="00D31CB2"/>
    <w:rsid w:val="00D31F7D"/>
    <w:rsid w:val="00D320EA"/>
    <w:rsid w:val="00D32143"/>
    <w:rsid w:val="00D321E4"/>
    <w:rsid w:val="00D32270"/>
    <w:rsid w:val="00D32350"/>
    <w:rsid w:val="00D3237E"/>
    <w:rsid w:val="00D3264C"/>
    <w:rsid w:val="00D3267B"/>
    <w:rsid w:val="00D32C31"/>
    <w:rsid w:val="00D32C47"/>
    <w:rsid w:val="00D32CE1"/>
    <w:rsid w:val="00D32CF4"/>
    <w:rsid w:val="00D32D8A"/>
    <w:rsid w:val="00D331F1"/>
    <w:rsid w:val="00D33285"/>
    <w:rsid w:val="00D3346F"/>
    <w:rsid w:val="00D33769"/>
    <w:rsid w:val="00D33B26"/>
    <w:rsid w:val="00D33B7E"/>
    <w:rsid w:val="00D33C5D"/>
    <w:rsid w:val="00D33CC0"/>
    <w:rsid w:val="00D33D51"/>
    <w:rsid w:val="00D33D80"/>
    <w:rsid w:val="00D34104"/>
    <w:rsid w:val="00D3460B"/>
    <w:rsid w:val="00D34B0F"/>
    <w:rsid w:val="00D34B1F"/>
    <w:rsid w:val="00D35136"/>
    <w:rsid w:val="00D3517A"/>
    <w:rsid w:val="00D35181"/>
    <w:rsid w:val="00D3542D"/>
    <w:rsid w:val="00D35D5F"/>
    <w:rsid w:val="00D35E38"/>
    <w:rsid w:val="00D35E4F"/>
    <w:rsid w:val="00D366D4"/>
    <w:rsid w:val="00D36918"/>
    <w:rsid w:val="00D37552"/>
    <w:rsid w:val="00D37C7C"/>
    <w:rsid w:val="00D37DDC"/>
    <w:rsid w:val="00D4088E"/>
    <w:rsid w:val="00D4114C"/>
    <w:rsid w:val="00D41284"/>
    <w:rsid w:val="00D41738"/>
    <w:rsid w:val="00D41B40"/>
    <w:rsid w:val="00D41BB6"/>
    <w:rsid w:val="00D41CA8"/>
    <w:rsid w:val="00D41F23"/>
    <w:rsid w:val="00D4266E"/>
    <w:rsid w:val="00D42A6C"/>
    <w:rsid w:val="00D42AAD"/>
    <w:rsid w:val="00D42C81"/>
    <w:rsid w:val="00D42CF1"/>
    <w:rsid w:val="00D42D5D"/>
    <w:rsid w:val="00D42DB7"/>
    <w:rsid w:val="00D42FF1"/>
    <w:rsid w:val="00D437AB"/>
    <w:rsid w:val="00D43B17"/>
    <w:rsid w:val="00D43CC3"/>
    <w:rsid w:val="00D44081"/>
    <w:rsid w:val="00D440FE"/>
    <w:rsid w:val="00D449E5"/>
    <w:rsid w:val="00D44A50"/>
    <w:rsid w:val="00D44ACE"/>
    <w:rsid w:val="00D44C44"/>
    <w:rsid w:val="00D44CC8"/>
    <w:rsid w:val="00D44D19"/>
    <w:rsid w:val="00D450F0"/>
    <w:rsid w:val="00D4535E"/>
    <w:rsid w:val="00D456F5"/>
    <w:rsid w:val="00D457C9"/>
    <w:rsid w:val="00D4584D"/>
    <w:rsid w:val="00D45919"/>
    <w:rsid w:val="00D45ACB"/>
    <w:rsid w:val="00D46080"/>
    <w:rsid w:val="00D4610B"/>
    <w:rsid w:val="00D4672A"/>
    <w:rsid w:val="00D469DB"/>
    <w:rsid w:val="00D46AF8"/>
    <w:rsid w:val="00D46C7F"/>
    <w:rsid w:val="00D46DB7"/>
    <w:rsid w:val="00D47231"/>
    <w:rsid w:val="00D4724A"/>
    <w:rsid w:val="00D47735"/>
    <w:rsid w:val="00D47C4A"/>
    <w:rsid w:val="00D47DDF"/>
    <w:rsid w:val="00D5028A"/>
    <w:rsid w:val="00D503C2"/>
    <w:rsid w:val="00D50835"/>
    <w:rsid w:val="00D509CD"/>
    <w:rsid w:val="00D50C7B"/>
    <w:rsid w:val="00D51408"/>
    <w:rsid w:val="00D5163B"/>
    <w:rsid w:val="00D51666"/>
    <w:rsid w:val="00D51813"/>
    <w:rsid w:val="00D51B76"/>
    <w:rsid w:val="00D51CEB"/>
    <w:rsid w:val="00D51E65"/>
    <w:rsid w:val="00D51FB3"/>
    <w:rsid w:val="00D520A9"/>
    <w:rsid w:val="00D52246"/>
    <w:rsid w:val="00D5227C"/>
    <w:rsid w:val="00D52592"/>
    <w:rsid w:val="00D52649"/>
    <w:rsid w:val="00D5270C"/>
    <w:rsid w:val="00D527EA"/>
    <w:rsid w:val="00D528A8"/>
    <w:rsid w:val="00D52B64"/>
    <w:rsid w:val="00D52E4B"/>
    <w:rsid w:val="00D532E6"/>
    <w:rsid w:val="00D5330D"/>
    <w:rsid w:val="00D5334F"/>
    <w:rsid w:val="00D53435"/>
    <w:rsid w:val="00D53703"/>
    <w:rsid w:val="00D5389E"/>
    <w:rsid w:val="00D53A7A"/>
    <w:rsid w:val="00D53ACB"/>
    <w:rsid w:val="00D53BEC"/>
    <w:rsid w:val="00D53CD5"/>
    <w:rsid w:val="00D541E2"/>
    <w:rsid w:val="00D546F7"/>
    <w:rsid w:val="00D5471C"/>
    <w:rsid w:val="00D548AF"/>
    <w:rsid w:val="00D549AE"/>
    <w:rsid w:val="00D54EF0"/>
    <w:rsid w:val="00D55183"/>
    <w:rsid w:val="00D55263"/>
    <w:rsid w:val="00D5559E"/>
    <w:rsid w:val="00D55664"/>
    <w:rsid w:val="00D556F8"/>
    <w:rsid w:val="00D55817"/>
    <w:rsid w:val="00D5592A"/>
    <w:rsid w:val="00D559D4"/>
    <w:rsid w:val="00D55FF9"/>
    <w:rsid w:val="00D5607D"/>
    <w:rsid w:val="00D566D1"/>
    <w:rsid w:val="00D568EF"/>
    <w:rsid w:val="00D56B32"/>
    <w:rsid w:val="00D56CA2"/>
    <w:rsid w:val="00D56CCC"/>
    <w:rsid w:val="00D57046"/>
    <w:rsid w:val="00D57081"/>
    <w:rsid w:val="00D57183"/>
    <w:rsid w:val="00D57215"/>
    <w:rsid w:val="00D578EE"/>
    <w:rsid w:val="00D57E2E"/>
    <w:rsid w:val="00D6015C"/>
    <w:rsid w:val="00D605FF"/>
    <w:rsid w:val="00D60AAB"/>
    <w:rsid w:val="00D60C22"/>
    <w:rsid w:val="00D60CB7"/>
    <w:rsid w:val="00D61077"/>
    <w:rsid w:val="00D611A0"/>
    <w:rsid w:val="00D61464"/>
    <w:rsid w:val="00D6147C"/>
    <w:rsid w:val="00D61797"/>
    <w:rsid w:val="00D617DF"/>
    <w:rsid w:val="00D61847"/>
    <w:rsid w:val="00D61B1B"/>
    <w:rsid w:val="00D61F26"/>
    <w:rsid w:val="00D61F8C"/>
    <w:rsid w:val="00D6207B"/>
    <w:rsid w:val="00D62516"/>
    <w:rsid w:val="00D62608"/>
    <w:rsid w:val="00D62C06"/>
    <w:rsid w:val="00D6309B"/>
    <w:rsid w:val="00D632CC"/>
    <w:rsid w:val="00D6336F"/>
    <w:rsid w:val="00D63AB0"/>
    <w:rsid w:val="00D63BAB"/>
    <w:rsid w:val="00D63BFF"/>
    <w:rsid w:val="00D6401E"/>
    <w:rsid w:val="00D643C4"/>
    <w:rsid w:val="00D648F1"/>
    <w:rsid w:val="00D64AB8"/>
    <w:rsid w:val="00D64ACC"/>
    <w:rsid w:val="00D64B87"/>
    <w:rsid w:val="00D64F1D"/>
    <w:rsid w:val="00D65076"/>
    <w:rsid w:val="00D6551B"/>
    <w:rsid w:val="00D655A1"/>
    <w:rsid w:val="00D65CC8"/>
    <w:rsid w:val="00D65CEA"/>
    <w:rsid w:val="00D65DA4"/>
    <w:rsid w:val="00D66257"/>
    <w:rsid w:val="00D66760"/>
    <w:rsid w:val="00D66AAC"/>
    <w:rsid w:val="00D672AA"/>
    <w:rsid w:val="00D67666"/>
    <w:rsid w:val="00D6766D"/>
    <w:rsid w:val="00D679C9"/>
    <w:rsid w:val="00D67D14"/>
    <w:rsid w:val="00D67DB8"/>
    <w:rsid w:val="00D67F18"/>
    <w:rsid w:val="00D7021F"/>
    <w:rsid w:val="00D70D80"/>
    <w:rsid w:val="00D71924"/>
    <w:rsid w:val="00D71CE2"/>
    <w:rsid w:val="00D71DF0"/>
    <w:rsid w:val="00D7220E"/>
    <w:rsid w:val="00D72276"/>
    <w:rsid w:val="00D72379"/>
    <w:rsid w:val="00D72649"/>
    <w:rsid w:val="00D727D1"/>
    <w:rsid w:val="00D728BE"/>
    <w:rsid w:val="00D73017"/>
    <w:rsid w:val="00D73028"/>
    <w:rsid w:val="00D735B2"/>
    <w:rsid w:val="00D7421F"/>
    <w:rsid w:val="00D74727"/>
    <w:rsid w:val="00D7472F"/>
    <w:rsid w:val="00D74B0E"/>
    <w:rsid w:val="00D74B0F"/>
    <w:rsid w:val="00D74DF9"/>
    <w:rsid w:val="00D7525D"/>
    <w:rsid w:val="00D75350"/>
    <w:rsid w:val="00D757AC"/>
    <w:rsid w:val="00D75969"/>
    <w:rsid w:val="00D75D6B"/>
    <w:rsid w:val="00D76315"/>
    <w:rsid w:val="00D76AA5"/>
    <w:rsid w:val="00D770DE"/>
    <w:rsid w:val="00D771A1"/>
    <w:rsid w:val="00D777EB"/>
    <w:rsid w:val="00D779C4"/>
    <w:rsid w:val="00D77BAB"/>
    <w:rsid w:val="00D77CEA"/>
    <w:rsid w:val="00D80018"/>
    <w:rsid w:val="00D805C0"/>
    <w:rsid w:val="00D8071D"/>
    <w:rsid w:val="00D80CB2"/>
    <w:rsid w:val="00D80E1A"/>
    <w:rsid w:val="00D80E59"/>
    <w:rsid w:val="00D810E4"/>
    <w:rsid w:val="00D81157"/>
    <w:rsid w:val="00D81423"/>
    <w:rsid w:val="00D81498"/>
    <w:rsid w:val="00D81628"/>
    <w:rsid w:val="00D81729"/>
    <w:rsid w:val="00D817F8"/>
    <w:rsid w:val="00D81AA7"/>
    <w:rsid w:val="00D81BCC"/>
    <w:rsid w:val="00D81CCD"/>
    <w:rsid w:val="00D822BB"/>
    <w:rsid w:val="00D82384"/>
    <w:rsid w:val="00D823A4"/>
    <w:rsid w:val="00D82CA8"/>
    <w:rsid w:val="00D82D58"/>
    <w:rsid w:val="00D82E49"/>
    <w:rsid w:val="00D82EA4"/>
    <w:rsid w:val="00D82FC9"/>
    <w:rsid w:val="00D83278"/>
    <w:rsid w:val="00D83293"/>
    <w:rsid w:val="00D834B1"/>
    <w:rsid w:val="00D836F6"/>
    <w:rsid w:val="00D83CB6"/>
    <w:rsid w:val="00D83E35"/>
    <w:rsid w:val="00D83F7D"/>
    <w:rsid w:val="00D84638"/>
    <w:rsid w:val="00D84ECA"/>
    <w:rsid w:val="00D84F87"/>
    <w:rsid w:val="00D84FAA"/>
    <w:rsid w:val="00D85033"/>
    <w:rsid w:val="00D852A1"/>
    <w:rsid w:val="00D8556F"/>
    <w:rsid w:val="00D85BAD"/>
    <w:rsid w:val="00D85D58"/>
    <w:rsid w:val="00D86130"/>
    <w:rsid w:val="00D86439"/>
    <w:rsid w:val="00D8650E"/>
    <w:rsid w:val="00D86612"/>
    <w:rsid w:val="00D86615"/>
    <w:rsid w:val="00D86D57"/>
    <w:rsid w:val="00D86F2A"/>
    <w:rsid w:val="00D871D3"/>
    <w:rsid w:val="00D87A09"/>
    <w:rsid w:val="00D87CAF"/>
    <w:rsid w:val="00D87D89"/>
    <w:rsid w:val="00D87EE3"/>
    <w:rsid w:val="00D906FE"/>
    <w:rsid w:val="00D9070D"/>
    <w:rsid w:val="00D90C97"/>
    <w:rsid w:val="00D90CB3"/>
    <w:rsid w:val="00D91451"/>
    <w:rsid w:val="00D9157E"/>
    <w:rsid w:val="00D9180F"/>
    <w:rsid w:val="00D91CA9"/>
    <w:rsid w:val="00D91D63"/>
    <w:rsid w:val="00D91D6B"/>
    <w:rsid w:val="00D92046"/>
    <w:rsid w:val="00D92308"/>
    <w:rsid w:val="00D92560"/>
    <w:rsid w:val="00D92586"/>
    <w:rsid w:val="00D92F79"/>
    <w:rsid w:val="00D92FD5"/>
    <w:rsid w:val="00D92FEB"/>
    <w:rsid w:val="00D9301B"/>
    <w:rsid w:val="00D93B08"/>
    <w:rsid w:val="00D93B4A"/>
    <w:rsid w:val="00D940DC"/>
    <w:rsid w:val="00D94278"/>
    <w:rsid w:val="00D9476A"/>
    <w:rsid w:val="00D9490C"/>
    <w:rsid w:val="00D949DF"/>
    <w:rsid w:val="00D94B17"/>
    <w:rsid w:val="00D94FF1"/>
    <w:rsid w:val="00D95066"/>
    <w:rsid w:val="00D95140"/>
    <w:rsid w:val="00D95176"/>
    <w:rsid w:val="00D951E6"/>
    <w:rsid w:val="00D95331"/>
    <w:rsid w:val="00D954A5"/>
    <w:rsid w:val="00D95623"/>
    <w:rsid w:val="00D95634"/>
    <w:rsid w:val="00D95650"/>
    <w:rsid w:val="00D95925"/>
    <w:rsid w:val="00D95D2F"/>
    <w:rsid w:val="00D960F2"/>
    <w:rsid w:val="00D9648B"/>
    <w:rsid w:val="00D964E8"/>
    <w:rsid w:val="00D967CC"/>
    <w:rsid w:val="00D97483"/>
    <w:rsid w:val="00D9748E"/>
    <w:rsid w:val="00D9781B"/>
    <w:rsid w:val="00DA0478"/>
    <w:rsid w:val="00DA0E4F"/>
    <w:rsid w:val="00DA0FD6"/>
    <w:rsid w:val="00DA0FF8"/>
    <w:rsid w:val="00DA150D"/>
    <w:rsid w:val="00DA1A36"/>
    <w:rsid w:val="00DA1E52"/>
    <w:rsid w:val="00DA2304"/>
    <w:rsid w:val="00DA257C"/>
    <w:rsid w:val="00DA261A"/>
    <w:rsid w:val="00DA2A07"/>
    <w:rsid w:val="00DA2F83"/>
    <w:rsid w:val="00DA3179"/>
    <w:rsid w:val="00DA3591"/>
    <w:rsid w:val="00DA3613"/>
    <w:rsid w:val="00DA41EC"/>
    <w:rsid w:val="00DA43D9"/>
    <w:rsid w:val="00DA474E"/>
    <w:rsid w:val="00DA48C1"/>
    <w:rsid w:val="00DA4D90"/>
    <w:rsid w:val="00DA50C8"/>
    <w:rsid w:val="00DA50DE"/>
    <w:rsid w:val="00DA54DA"/>
    <w:rsid w:val="00DA5606"/>
    <w:rsid w:val="00DA5867"/>
    <w:rsid w:val="00DA5E9A"/>
    <w:rsid w:val="00DA6346"/>
    <w:rsid w:val="00DA6612"/>
    <w:rsid w:val="00DA6740"/>
    <w:rsid w:val="00DA685C"/>
    <w:rsid w:val="00DA6BA4"/>
    <w:rsid w:val="00DA6E13"/>
    <w:rsid w:val="00DA7048"/>
    <w:rsid w:val="00DA7171"/>
    <w:rsid w:val="00DA7567"/>
    <w:rsid w:val="00DA77AC"/>
    <w:rsid w:val="00DA79B2"/>
    <w:rsid w:val="00DA7ADB"/>
    <w:rsid w:val="00DA7C19"/>
    <w:rsid w:val="00DB00E3"/>
    <w:rsid w:val="00DB0369"/>
    <w:rsid w:val="00DB0415"/>
    <w:rsid w:val="00DB0683"/>
    <w:rsid w:val="00DB0A44"/>
    <w:rsid w:val="00DB0BF3"/>
    <w:rsid w:val="00DB19A0"/>
    <w:rsid w:val="00DB1DF5"/>
    <w:rsid w:val="00DB1E2B"/>
    <w:rsid w:val="00DB1F98"/>
    <w:rsid w:val="00DB20B2"/>
    <w:rsid w:val="00DB2371"/>
    <w:rsid w:val="00DB2545"/>
    <w:rsid w:val="00DB28E4"/>
    <w:rsid w:val="00DB2D37"/>
    <w:rsid w:val="00DB2DE9"/>
    <w:rsid w:val="00DB2F5A"/>
    <w:rsid w:val="00DB301B"/>
    <w:rsid w:val="00DB318D"/>
    <w:rsid w:val="00DB3289"/>
    <w:rsid w:val="00DB33ED"/>
    <w:rsid w:val="00DB3566"/>
    <w:rsid w:val="00DB3800"/>
    <w:rsid w:val="00DB38F4"/>
    <w:rsid w:val="00DB4111"/>
    <w:rsid w:val="00DB4523"/>
    <w:rsid w:val="00DB455A"/>
    <w:rsid w:val="00DB4908"/>
    <w:rsid w:val="00DB51BA"/>
    <w:rsid w:val="00DB53E7"/>
    <w:rsid w:val="00DB548E"/>
    <w:rsid w:val="00DB58AB"/>
    <w:rsid w:val="00DB5D25"/>
    <w:rsid w:val="00DB61C6"/>
    <w:rsid w:val="00DB6275"/>
    <w:rsid w:val="00DB62C8"/>
    <w:rsid w:val="00DB64D9"/>
    <w:rsid w:val="00DB67AC"/>
    <w:rsid w:val="00DB6B4C"/>
    <w:rsid w:val="00DB6BE5"/>
    <w:rsid w:val="00DB6C0B"/>
    <w:rsid w:val="00DB6CBB"/>
    <w:rsid w:val="00DB6D7D"/>
    <w:rsid w:val="00DB6EF9"/>
    <w:rsid w:val="00DB7552"/>
    <w:rsid w:val="00DB7726"/>
    <w:rsid w:val="00DB7B70"/>
    <w:rsid w:val="00DC002D"/>
    <w:rsid w:val="00DC02F5"/>
    <w:rsid w:val="00DC05F5"/>
    <w:rsid w:val="00DC0655"/>
    <w:rsid w:val="00DC07D9"/>
    <w:rsid w:val="00DC08A1"/>
    <w:rsid w:val="00DC0B5C"/>
    <w:rsid w:val="00DC0C6F"/>
    <w:rsid w:val="00DC0CC8"/>
    <w:rsid w:val="00DC1314"/>
    <w:rsid w:val="00DC134A"/>
    <w:rsid w:val="00DC146C"/>
    <w:rsid w:val="00DC1A28"/>
    <w:rsid w:val="00DC1A84"/>
    <w:rsid w:val="00DC1F30"/>
    <w:rsid w:val="00DC2013"/>
    <w:rsid w:val="00DC25B6"/>
    <w:rsid w:val="00DC26AB"/>
    <w:rsid w:val="00DC26CF"/>
    <w:rsid w:val="00DC27C4"/>
    <w:rsid w:val="00DC2C83"/>
    <w:rsid w:val="00DC2D47"/>
    <w:rsid w:val="00DC2DBE"/>
    <w:rsid w:val="00DC2DDD"/>
    <w:rsid w:val="00DC2E5D"/>
    <w:rsid w:val="00DC3439"/>
    <w:rsid w:val="00DC3AE3"/>
    <w:rsid w:val="00DC3CE2"/>
    <w:rsid w:val="00DC4028"/>
    <w:rsid w:val="00DC40D1"/>
    <w:rsid w:val="00DC433E"/>
    <w:rsid w:val="00DC4577"/>
    <w:rsid w:val="00DC48F6"/>
    <w:rsid w:val="00DC4A7A"/>
    <w:rsid w:val="00DC4B21"/>
    <w:rsid w:val="00DC4EAC"/>
    <w:rsid w:val="00DC5473"/>
    <w:rsid w:val="00DC5A33"/>
    <w:rsid w:val="00DC5F72"/>
    <w:rsid w:val="00DC6349"/>
    <w:rsid w:val="00DC64F8"/>
    <w:rsid w:val="00DC6553"/>
    <w:rsid w:val="00DC6860"/>
    <w:rsid w:val="00DC68B0"/>
    <w:rsid w:val="00DC6C99"/>
    <w:rsid w:val="00DC7589"/>
    <w:rsid w:val="00DC75F2"/>
    <w:rsid w:val="00DC770D"/>
    <w:rsid w:val="00DC7F16"/>
    <w:rsid w:val="00DD009B"/>
    <w:rsid w:val="00DD00A8"/>
    <w:rsid w:val="00DD02B2"/>
    <w:rsid w:val="00DD03B4"/>
    <w:rsid w:val="00DD0C09"/>
    <w:rsid w:val="00DD0D45"/>
    <w:rsid w:val="00DD0D7F"/>
    <w:rsid w:val="00DD0DC5"/>
    <w:rsid w:val="00DD11B2"/>
    <w:rsid w:val="00DD129B"/>
    <w:rsid w:val="00DD1486"/>
    <w:rsid w:val="00DD151E"/>
    <w:rsid w:val="00DD155F"/>
    <w:rsid w:val="00DD1604"/>
    <w:rsid w:val="00DD172D"/>
    <w:rsid w:val="00DD174F"/>
    <w:rsid w:val="00DD1D8B"/>
    <w:rsid w:val="00DD219F"/>
    <w:rsid w:val="00DD242C"/>
    <w:rsid w:val="00DD28A6"/>
    <w:rsid w:val="00DD2BA4"/>
    <w:rsid w:val="00DD2C50"/>
    <w:rsid w:val="00DD30AA"/>
    <w:rsid w:val="00DD30C8"/>
    <w:rsid w:val="00DD320F"/>
    <w:rsid w:val="00DD32A5"/>
    <w:rsid w:val="00DD32C0"/>
    <w:rsid w:val="00DD3408"/>
    <w:rsid w:val="00DD3453"/>
    <w:rsid w:val="00DD3462"/>
    <w:rsid w:val="00DD3688"/>
    <w:rsid w:val="00DD37B0"/>
    <w:rsid w:val="00DD3846"/>
    <w:rsid w:val="00DD3DA1"/>
    <w:rsid w:val="00DD417A"/>
    <w:rsid w:val="00DD4519"/>
    <w:rsid w:val="00DD4662"/>
    <w:rsid w:val="00DD4D72"/>
    <w:rsid w:val="00DD5125"/>
    <w:rsid w:val="00DD5307"/>
    <w:rsid w:val="00DD5665"/>
    <w:rsid w:val="00DD58AB"/>
    <w:rsid w:val="00DD5CD2"/>
    <w:rsid w:val="00DD5D48"/>
    <w:rsid w:val="00DD5E75"/>
    <w:rsid w:val="00DD6017"/>
    <w:rsid w:val="00DD634A"/>
    <w:rsid w:val="00DD645D"/>
    <w:rsid w:val="00DD64CB"/>
    <w:rsid w:val="00DD650F"/>
    <w:rsid w:val="00DD6761"/>
    <w:rsid w:val="00DD690B"/>
    <w:rsid w:val="00DD6993"/>
    <w:rsid w:val="00DD6BA1"/>
    <w:rsid w:val="00DD6C3D"/>
    <w:rsid w:val="00DD6DE1"/>
    <w:rsid w:val="00DD6F03"/>
    <w:rsid w:val="00DD70ED"/>
    <w:rsid w:val="00DD7189"/>
    <w:rsid w:val="00DD7366"/>
    <w:rsid w:val="00DD7799"/>
    <w:rsid w:val="00DD7CB6"/>
    <w:rsid w:val="00DE003C"/>
    <w:rsid w:val="00DE00A9"/>
    <w:rsid w:val="00DE0281"/>
    <w:rsid w:val="00DE02BB"/>
    <w:rsid w:val="00DE034E"/>
    <w:rsid w:val="00DE05FC"/>
    <w:rsid w:val="00DE060F"/>
    <w:rsid w:val="00DE095B"/>
    <w:rsid w:val="00DE0FFE"/>
    <w:rsid w:val="00DE1187"/>
    <w:rsid w:val="00DE1819"/>
    <w:rsid w:val="00DE18F6"/>
    <w:rsid w:val="00DE1C37"/>
    <w:rsid w:val="00DE1FBB"/>
    <w:rsid w:val="00DE2132"/>
    <w:rsid w:val="00DE22AB"/>
    <w:rsid w:val="00DE23CD"/>
    <w:rsid w:val="00DE28D4"/>
    <w:rsid w:val="00DE29CE"/>
    <w:rsid w:val="00DE2B5F"/>
    <w:rsid w:val="00DE3619"/>
    <w:rsid w:val="00DE36BC"/>
    <w:rsid w:val="00DE36C6"/>
    <w:rsid w:val="00DE3B00"/>
    <w:rsid w:val="00DE3D6F"/>
    <w:rsid w:val="00DE3D73"/>
    <w:rsid w:val="00DE3E0D"/>
    <w:rsid w:val="00DE4353"/>
    <w:rsid w:val="00DE43B8"/>
    <w:rsid w:val="00DE46B0"/>
    <w:rsid w:val="00DE472E"/>
    <w:rsid w:val="00DE4D66"/>
    <w:rsid w:val="00DE4E35"/>
    <w:rsid w:val="00DE4F83"/>
    <w:rsid w:val="00DE5227"/>
    <w:rsid w:val="00DE5361"/>
    <w:rsid w:val="00DE5396"/>
    <w:rsid w:val="00DE53C2"/>
    <w:rsid w:val="00DE54C5"/>
    <w:rsid w:val="00DE55B5"/>
    <w:rsid w:val="00DE55D8"/>
    <w:rsid w:val="00DE5A34"/>
    <w:rsid w:val="00DE616B"/>
    <w:rsid w:val="00DE6288"/>
    <w:rsid w:val="00DE637D"/>
    <w:rsid w:val="00DE63A0"/>
    <w:rsid w:val="00DE63BB"/>
    <w:rsid w:val="00DE6707"/>
    <w:rsid w:val="00DE68AE"/>
    <w:rsid w:val="00DE68F5"/>
    <w:rsid w:val="00DE6C4F"/>
    <w:rsid w:val="00DE6F8D"/>
    <w:rsid w:val="00DE717B"/>
    <w:rsid w:val="00DE725C"/>
    <w:rsid w:val="00DE72AA"/>
    <w:rsid w:val="00DE77E9"/>
    <w:rsid w:val="00DE7849"/>
    <w:rsid w:val="00DE79C8"/>
    <w:rsid w:val="00DE7B15"/>
    <w:rsid w:val="00DE7BC2"/>
    <w:rsid w:val="00DF03E2"/>
    <w:rsid w:val="00DF04DA"/>
    <w:rsid w:val="00DF0750"/>
    <w:rsid w:val="00DF0961"/>
    <w:rsid w:val="00DF10A6"/>
    <w:rsid w:val="00DF1991"/>
    <w:rsid w:val="00DF1A09"/>
    <w:rsid w:val="00DF1AFF"/>
    <w:rsid w:val="00DF1C8E"/>
    <w:rsid w:val="00DF1D11"/>
    <w:rsid w:val="00DF1D14"/>
    <w:rsid w:val="00DF26D8"/>
    <w:rsid w:val="00DF2723"/>
    <w:rsid w:val="00DF2877"/>
    <w:rsid w:val="00DF287C"/>
    <w:rsid w:val="00DF2A61"/>
    <w:rsid w:val="00DF2ACD"/>
    <w:rsid w:val="00DF2B02"/>
    <w:rsid w:val="00DF3149"/>
    <w:rsid w:val="00DF34CD"/>
    <w:rsid w:val="00DF34D1"/>
    <w:rsid w:val="00DF377A"/>
    <w:rsid w:val="00DF379D"/>
    <w:rsid w:val="00DF3853"/>
    <w:rsid w:val="00DF406D"/>
    <w:rsid w:val="00DF40A8"/>
    <w:rsid w:val="00DF42B8"/>
    <w:rsid w:val="00DF4831"/>
    <w:rsid w:val="00DF495F"/>
    <w:rsid w:val="00DF4A14"/>
    <w:rsid w:val="00DF4CE2"/>
    <w:rsid w:val="00DF4D68"/>
    <w:rsid w:val="00DF522E"/>
    <w:rsid w:val="00DF5351"/>
    <w:rsid w:val="00DF56CD"/>
    <w:rsid w:val="00DF5AB5"/>
    <w:rsid w:val="00DF5E15"/>
    <w:rsid w:val="00DF5E2A"/>
    <w:rsid w:val="00DF5ECE"/>
    <w:rsid w:val="00DF5ED9"/>
    <w:rsid w:val="00DF63A1"/>
    <w:rsid w:val="00DF6A8B"/>
    <w:rsid w:val="00DF6B87"/>
    <w:rsid w:val="00DF7477"/>
    <w:rsid w:val="00DF77BB"/>
    <w:rsid w:val="00DF78A8"/>
    <w:rsid w:val="00DF79C8"/>
    <w:rsid w:val="00E001CA"/>
    <w:rsid w:val="00E002EE"/>
    <w:rsid w:val="00E004B1"/>
    <w:rsid w:val="00E00658"/>
    <w:rsid w:val="00E00695"/>
    <w:rsid w:val="00E008BF"/>
    <w:rsid w:val="00E00924"/>
    <w:rsid w:val="00E00AAE"/>
    <w:rsid w:val="00E00AEA"/>
    <w:rsid w:val="00E00C49"/>
    <w:rsid w:val="00E01507"/>
    <w:rsid w:val="00E0170E"/>
    <w:rsid w:val="00E01809"/>
    <w:rsid w:val="00E01BC0"/>
    <w:rsid w:val="00E02124"/>
    <w:rsid w:val="00E023E4"/>
    <w:rsid w:val="00E025B3"/>
    <w:rsid w:val="00E025B6"/>
    <w:rsid w:val="00E025D0"/>
    <w:rsid w:val="00E025EC"/>
    <w:rsid w:val="00E02623"/>
    <w:rsid w:val="00E028BE"/>
    <w:rsid w:val="00E02F29"/>
    <w:rsid w:val="00E0345A"/>
    <w:rsid w:val="00E03521"/>
    <w:rsid w:val="00E035B5"/>
    <w:rsid w:val="00E036B4"/>
    <w:rsid w:val="00E03953"/>
    <w:rsid w:val="00E03A24"/>
    <w:rsid w:val="00E03B8F"/>
    <w:rsid w:val="00E03BD4"/>
    <w:rsid w:val="00E04235"/>
    <w:rsid w:val="00E043AF"/>
    <w:rsid w:val="00E0460C"/>
    <w:rsid w:val="00E046B1"/>
    <w:rsid w:val="00E046EF"/>
    <w:rsid w:val="00E04854"/>
    <w:rsid w:val="00E04E03"/>
    <w:rsid w:val="00E04ECF"/>
    <w:rsid w:val="00E04FF4"/>
    <w:rsid w:val="00E0547D"/>
    <w:rsid w:val="00E062E1"/>
    <w:rsid w:val="00E064BE"/>
    <w:rsid w:val="00E06564"/>
    <w:rsid w:val="00E0682B"/>
    <w:rsid w:val="00E0683A"/>
    <w:rsid w:val="00E06843"/>
    <w:rsid w:val="00E06A6A"/>
    <w:rsid w:val="00E06C21"/>
    <w:rsid w:val="00E06D2F"/>
    <w:rsid w:val="00E06EA2"/>
    <w:rsid w:val="00E06F9F"/>
    <w:rsid w:val="00E0760D"/>
    <w:rsid w:val="00E0780E"/>
    <w:rsid w:val="00E07966"/>
    <w:rsid w:val="00E07968"/>
    <w:rsid w:val="00E079F9"/>
    <w:rsid w:val="00E07B68"/>
    <w:rsid w:val="00E07C36"/>
    <w:rsid w:val="00E07F31"/>
    <w:rsid w:val="00E1018D"/>
    <w:rsid w:val="00E101AD"/>
    <w:rsid w:val="00E1048F"/>
    <w:rsid w:val="00E1050B"/>
    <w:rsid w:val="00E10586"/>
    <w:rsid w:val="00E105AF"/>
    <w:rsid w:val="00E107CE"/>
    <w:rsid w:val="00E11030"/>
    <w:rsid w:val="00E118EF"/>
    <w:rsid w:val="00E11B93"/>
    <w:rsid w:val="00E11C5C"/>
    <w:rsid w:val="00E11FA1"/>
    <w:rsid w:val="00E12071"/>
    <w:rsid w:val="00E120A9"/>
    <w:rsid w:val="00E12503"/>
    <w:rsid w:val="00E1277D"/>
    <w:rsid w:val="00E12836"/>
    <w:rsid w:val="00E12D92"/>
    <w:rsid w:val="00E12E29"/>
    <w:rsid w:val="00E12E98"/>
    <w:rsid w:val="00E131BD"/>
    <w:rsid w:val="00E134C3"/>
    <w:rsid w:val="00E13848"/>
    <w:rsid w:val="00E13C9C"/>
    <w:rsid w:val="00E13D28"/>
    <w:rsid w:val="00E141AA"/>
    <w:rsid w:val="00E1437B"/>
    <w:rsid w:val="00E1449B"/>
    <w:rsid w:val="00E14D4C"/>
    <w:rsid w:val="00E14EF0"/>
    <w:rsid w:val="00E150A1"/>
    <w:rsid w:val="00E15606"/>
    <w:rsid w:val="00E15A21"/>
    <w:rsid w:val="00E15AC4"/>
    <w:rsid w:val="00E15B59"/>
    <w:rsid w:val="00E15C03"/>
    <w:rsid w:val="00E15C9F"/>
    <w:rsid w:val="00E160D1"/>
    <w:rsid w:val="00E163FC"/>
    <w:rsid w:val="00E164DA"/>
    <w:rsid w:val="00E16687"/>
    <w:rsid w:val="00E166C2"/>
    <w:rsid w:val="00E16738"/>
    <w:rsid w:val="00E168CE"/>
    <w:rsid w:val="00E16D5D"/>
    <w:rsid w:val="00E16DCF"/>
    <w:rsid w:val="00E16E4A"/>
    <w:rsid w:val="00E17117"/>
    <w:rsid w:val="00E172D6"/>
    <w:rsid w:val="00E17AB1"/>
    <w:rsid w:val="00E17E8B"/>
    <w:rsid w:val="00E17EE0"/>
    <w:rsid w:val="00E17FE4"/>
    <w:rsid w:val="00E20063"/>
    <w:rsid w:val="00E200C7"/>
    <w:rsid w:val="00E2019A"/>
    <w:rsid w:val="00E201AE"/>
    <w:rsid w:val="00E202F1"/>
    <w:rsid w:val="00E205FE"/>
    <w:rsid w:val="00E20690"/>
    <w:rsid w:val="00E20C82"/>
    <w:rsid w:val="00E20D24"/>
    <w:rsid w:val="00E20DDD"/>
    <w:rsid w:val="00E21101"/>
    <w:rsid w:val="00E211F0"/>
    <w:rsid w:val="00E2150B"/>
    <w:rsid w:val="00E215EF"/>
    <w:rsid w:val="00E21610"/>
    <w:rsid w:val="00E21D1C"/>
    <w:rsid w:val="00E221A2"/>
    <w:rsid w:val="00E222DE"/>
    <w:rsid w:val="00E2245F"/>
    <w:rsid w:val="00E224A3"/>
    <w:rsid w:val="00E224BF"/>
    <w:rsid w:val="00E2292B"/>
    <w:rsid w:val="00E22B18"/>
    <w:rsid w:val="00E22B57"/>
    <w:rsid w:val="00E22BD7"/>
    <w:rsid w:val="00E2322F"/>
    <w:rsid w:val="00E237C3"/>
    <w:rsid w:val="00E238EF"/>
    <w:rsid w:val="00E23960"/>
    <w:rsid w:val="00E23979"/>
    <w:rsid w:val="00E23D3D"/>
    <w:rsid w:val="00E23EC9"/>
    <w:rsid w:val="00E24284"/>
    <w:rsid w:val="00E24456"/>
    <w:rsid w:val="00E24632"/>
    <w:rsid w:val="00E249BD"/>
    <w:rsid w:val="00E24F36"/>
    <w:rsid w:val="00E24FC7"/>
    <w:rsid w:val="00E250C1"/>
    <w:rsid w:val="00E255DF"/>
    <w:rsid w:val="00E25785"/>
    <w:rsid w:val="00E2597F"/>
    <w:rsid w:val="00E25AC6"/>
    <w:rsid w:val="00E25B17"/>
    <w:rsid w:val="00E263AC"/>
    <w:rsid w:val="00E267D4"/>
    <w:rsid w:val="00E26AD1"/>
    <w:rsid w:val="00E26C58"/>
    <w:rsid w:val="00E2714E"/>
    <w:rsid w:val="00E273CA"/>
    <w:rsid w:val="00E27807"/>
    <w:rsid w:val="00E27937"/>
    <w:rsid w:val="00E27BF7"/>
    <w:rsid w:val="00E27CF6"/>
    <w:rsid w:val="00E27DD8"/>
    <w:rsid w:val="00E301FC"/>
    <w:rsid w:val="00E30647"/>
    <w:rsid w:val="00E30DCA"/>
    <w:rsid w:val="00E30E25"/>
    <w:rsid w:val="00E30E31"/>
    <w:rsid w:val="00E313D1"/>
    <w:rsid w:val="00E314D7"/>
    <w:rsid w:val="00E3171D"/>
    <w:rsid w:val="00E31958"/>
    <w:rsid w:val="00E319E1"/>
    <w:rsid w:val="00E31AED"/>
    <w:rsid w:val="00E31EF1"/>
    <w:rsid w:val="00E32090"/>
    <w:rsid w:val="00E321B6"/>
    <w:rsid w:val="00E32AC5"/>
    <w:rsid w:val="00E32C17"/>
    <w:rsid w:val="00E32EAF"/>
    <w:rsid w:val="00E331F0"/>
    <w:rsid w:val="00E333BB"/>
    <w:rsid w:val="00E337B7"/>
    <w:rsid w:val="00E33A26"/>
    <w:rsid w:val="00E34041"/>
    <w:rsid w:val="00E3415F"/>
    <w:rsid w:val="00E347D0"/>
    <w:rsid w:val="00E34B79"/>
    <w:rsid w:val="00E34B88"/>
    <w:rsid w:val="00E34DF3"/>
    <w:rsid w:val="00E34EA4"/>
    <w:rsid w:val="00E34F62"/>
    <w:rsid w:val="00E351AC"/>
    <w:rsid w:val="00E35288"/>
    <w:rsid w:val="00E352F7"/>
    <w:rsid w:val="00E35490"/>
    <w:rsid w:val="00E35929"/>
    <w:rsid w:val="00E3592D"/>
    <w:rsid w:val="00E35B82"/>
    <w:rsid w:val="00E35D57"/>
    <w:rsid w:val="00E35DBF"/>
    <w:rsid w:val="00E360BE"/>
    <w:rsid w:val="00E3640A"/>
    <w:rsid w:val="00E36445"/>
    <w:rsid w:val="00E36521"/>
    <w:rsid w:val="00E36836"/>
    <w:rsid w:val="00E36CB5"/>
    <w:rsid w:val="00E36DD6"/>
    <w:rsid w:val="00E375C3"/>
    <w:rsid w:val="00E375E1"/>
    <w:rsid w:val="00E377B2"/>
    <w:rsid w:val="00E37997"/>
    <w:rsid w:val="00E379E4"/>
    <w:rsid w:val="00E37A09"/>
    <w:rsid w:val="00E37F04"/>
    <w:rsid w:val="00E400A4"/>
    <w:rsid w:val="00E400C0"/>
    <w:rsid w:val="00E4071F"/>
    <w:rsid w:val="00E41063"/>
    <w:rsid w:val="00E410F9"/>
    <w:rsid w:val="00E41533"/>
    <w:rsid w:val="00E41622"/>
    <w:rsid w:val="00E42252"/>
    <w:rsid w:val="00E42483"/>
    <w:rsid w:val="00E426C7"/>
    <w:rsid w:val="00E428FC"/>
    <w:rsid w:val="00E42A90"/>
    <w:rsid w:val="00E42B03"/>
    <w:rsid w:val="00E42B4F"/>
    <w:rsid w:val="00E42DCD"/>
    <w:rsid w:val="00E431E6"/>
    <w:rsid w:val="00E43A19"/>
    <w:rsid w:val="00E43A88"/>
    <w:rsid w:val="00E43C1B"/>
    <w:rsid w:val="00E43E9B"/>
    <w:rsid w:val="00E4416B"/>
    <w:rsid w:val="00E4437E"/>
    <w:rsid w:val="00E443D1"/>
    <w:rsid w:val="00E44420"/>
    <w:rsid w:val="00E444C3"/>
    <w:rsid w:val="00E44519"/>
    <w:rsid w:val="00E4455B"/>
    <w:rsid w:val="00E44A8E"/>
    <w:rsid w:val="00E44E32"/>
    <w:rsid w:val="00E4550C"/>
    <w:rsid w:val="00E4552E"/>
    <w:rsid w:val="00E4566F"/>
    <w:rsid w:val="00E462CC"/>
    <w:rsid w:val="00E46386"/>
    <w:rsid w:val="00E4685D"/>
    <w:rsid w:val="00E46C0B"/>
    <w:rsid w:val="00E46C1B"/>
    <w:rsid w:val="00E46F33"/>
    <w:rsid w:val="00E46F38"/>
    <w:rsid w:val="00E47039"/>
    <w:rsid w:val="00E47096"/>
    <w:rsid w:val="00E470B7"/>
    <w:rsid w:val="00E474F2"/>
    <w:rsid w:val="00E4775B"/>
    <w:rsid w:val="00E477B8"/>
    <w:rsid w:val="00E47836"/>
    <w:rsid w:val="00E47A7A"/>
    <w:rsid w:val="00E47C61"/>
    <w:rsid w:val="00E47D5F"/>
    <w:rsid w:val="00E503B5"/>
    <w:rsid w:val="00E5058B"/>
    <w:rsid w:val="00E50593"/>
    <w:rsid w:val="00E50A01"/>
    <w:rsid w:val="00E50A32"/>
    <w:rsid w:val="00E50B45"/>
    <w:rsid w:val="00E50CCE"/>
    <w:rsid w:val="00E50D6A"/>
    <w:rsid w:val="00E50E33"/>
    <w:rsid w:val="00E51007"/>
    <w:rsid w:val="00E511D4"/>
    <w:rsid w:val="00E5126E"/>
    <w:rsid w:val="00E51C30"/>
    <w:rsid w:val="00E51CCE"/>
    <w:rsid w:val="00E51F74"/>
    <w:rsid w:val="00E525FD"/>
    <w:rsid w:val="00E5283D"/>
    <w:rsid w:val="00E52E92"/>
    <w:rsid w:val="00E530F0"/>
    <w:rsid w:val="00E53309"/>
    <w:rsid w:val="00E53719"/>
    <w:rsid w:val="00E537A8"/>
    <w:rsid w:val="00E537FE"/>
    <w:rsid w:val="00E5395B"/>
    <w:rsid w:val="00E53BC9"/>
    <w:rsid w:val="00E53C79"/>
    <w:rsid w:val="00E53D39"/>
    <w:rsid w:val="00E53E57"/>
    <w:rsid w:val="00E53ED7"/>
    <w:rsid w:val="00E53F99"/>
    <w:rsid w:val="00E53FA8"/>
    <w:rsid w:val="00E54205"/>
    <w:rsid w:val="00E5476D"/>
    <w:rsid w:val="00E5496E"/>
    <w:rsid w:val="00E54B0B"/>
    <w:rsid w:val="00E55595"/>
    <w:rsid w:val="00E55A00"/>
    <w:rsid w:val="00E55C5B"/>
    <w:rsid w:val="00E55C71"/>
    <w:rsid w:val="00E5601A"/>
    <w:rsid w:val="00E562C3"/>
    <w:rsid w:val="00E56522"/>
    <w:rsid w:val="00E5655A"/>
    <w:rsid w:val="00E565B3"/>
    <w:rsid w:val="00E565CD"/>
    <w:rsid w:val="00E56798"/>
    <w:rsid w:val="00E56B84"/>
    <w:rsid w:val="00E56D3C"/>
    <w:rsid w:val="00E571D6"/>
    <w:rsid w:val="00E57408"/>
    <w:rsid w:val="00E5770C"/>
    <w:rsid w:val="00E57C31"/>
    <w:rsid w:val="00E57CFD"/>
    <w:rsid w:val="00E57E72"/>
    <w:rsid w:val="00E60027"/>
    <w:rsid w:val="00E60060"/>
    <w:rsid w:val="00E60072"/>
    <w:rsid w:val="00E601EF"/>
    <w:rsid w:val="00E604AD"/>
    <w:rsid w:val="00E607FA"/>
    <w:rsid w:val="00E609A7"/>
    <w:rsid w:val="00E612B0"/>
    <w:rsid w:val="00E61947"/>
    <w:rsid w:val="00E6195B"/>
    <w:rsid w:val="00E61A78"/>
    <w:rsid w:val="00E61AF7"/>
    <w:rsid w:val="00E61CC8"/>
    <w:rsid w:val="00E61E3D"/>
    <w:rsid w:val="00E61E81"/>
    <w:rsid w:val="00E6222B"/>
    <w:rsid w:val="00E62240"/>
    <w:rsid w:val="00E627B5"/>
    <w:rsid w:val="00E628D0"/>
    <w:rsid w:val="00E62AD0"/>
    <w:rsid w:val="00E62C25"/>
    <w:rsid w:val="00E62CCC"/>
    <w:rsid w:val="00E62E39"/>
    <w:rsid w:val="00E62FB1"/>
    <w:rsid w:val="00E62FDD"/>
    <w:rsid w:val="00E63283"/>
    <w:rsid w:val="00E6353D"/>
    <w:rsid w:val="00E63610"/>
    <w:rsid w:val="00E63F87"/>
    <w:rsid w:val="00E643F2"/>
    <w:rsid w:val="00E64422"/>
    <w:rsid w:val="00E644E4"/>
    <w:rsid w:val="00E647B6"/>
    <w:rsid w:val="00E647C0"/>
    <w:rsid w:val="00E6489A"/>
    <w:rsid w:val="00E64BED"/>
    <w:rsid w:val="00E64DA9"/>
    <w:rsid w:val="00E64E42"/>
    <w:rsid w:val="00E64F59"/>
    <w:rsid w:val="00E65230"/>
    <w:rsid w:val="00E654F2"/>
    <w:rsid w:val="00E65974"/>
    <w:rsid w:val="00E65B53"/>
    <w:rsid w:val="00E66133"/>
    <w:rsid w:val="00E66783"/>
    <w:rsid w:val="00E66B31"/>
    <w:rsid w:val="00E66B3D"/>
    <w:rsid w:val="00E66EA3"/>
    <w:rsid w:val="00E66EAF"/>
    <w:rsid w:val="00E6725F"/>
    <w:rsid w:val="00E6727B"/>
    <w:rsid w:val="00E67600"/>
    <w:rsid w:val="00E679D6"/>
    <w:rsid w:val="00E67C02"/>
    <w:rsid w:val="00E67C3D"/>
    <w:rsid w:val="00E67E27"/>
    <w:rsid w:val="00E70471"/>
    <w:rsid w:val="00E70554"/>
    <w:rsid w:val="00E70DD6"/>
    <w:rsid w:val="00E71283"/>
    <w:rsid w:val="00E713DB"/>
    <w:rsid w:val="00E7167E"/>
    <w:rsid w:val="00E7168A"/>
    <w:rsid w:val="00E718A9"/>
    <w:rsid w:val="00E718EF"/>
    <w:rsid w:val="00E71A4E"/>
    <w:rsid w:val="00E720DC"/>
    <w:rsid w:val="00E724CE"/>
    <w:rsid w:val="00E725FC"/>
    <w:rsid w:val="00E72702"/>
    <w:rsid w:val="00E727C5"/>
    <w:rsid w:val="00E72887"/>
    <w:rsid w:val="00E72932"/>
    <w:rsid w:val="00E72F00"/>
    <w:rsid w:val="00E72F44"/>
    <w:rsid w:val="00E73101"/>
    <w:rsid w:val="00E732A7"/>
    <w:rsid w:val="00E733E2"/>
    <w:rsid w:val="00E73767"/>
    <w:rsid w:val="00E738B2"/>
    <w:rsid w:val="00E73BF9"/>
    <w:rsid w:val="00E741F1"/>
    <w:rsid w:val="00E742A5"/>
    <w:rsid w:val="00E746A3"/>
    <w:rsid w:val="00E746B2"/>
    <w:rsid w:val="00E74BA3"/>
    <w:rsid w:val="00E752A2"/>
    <w:rsid w:val="00E75428"/>
    <w:rsid w:val="00E75768"/>
    <w:rsid w:val="00E75897"/>
    <w:rsid w:val="00E75974"/>
    <w:rsid w:val="00E75BC6"/>
    <w:rsid w:val="00E75CE2"/>
    <w:rsid w:val="00E75F70"/>
    <w:rsid w:val="00E76107"/>
    <w:rsid w:val="00E7628D"/>
    <w:rsid w:val="00E762F4"/>
    <w:rsid w:val="00E763EA"/>
    <w:rsid w:val="00E76584"/>
    <w:rsid w:val="00E76687"/>
    <w:rsid w:val="00E76C3C"/>
    <w:rsid w:val="00E76DBF"/>
    <w:rsid w:val="00E76F08"/>
    <w:rsid w:val="00E77392"/>
    <w:rsid w:val="00E77B96"/>
    <w:rsid w:val="00E8049E"/>
    <w:rsid w:val="00E80751"/>
    <w:rsid w:val="00E80950"/>
    <w:rsid w:val="00E80AC6"/>
    <w:rsid w:val="00E80EC1"/>
    <w:rsid w:val="00E81228"/>
    <w:rsid w:val="00E81369"/>
    <w:rsid w:val="00E81744"/>
    <w:rsid w:val="00E8190A"/>
    <w:rsid w:val="00E81994"/>
    <w:rsid w:val="00E81A20"/>
    <w:rsid w:val="00E81F3F"/>
    <w:rsid w:val="00E8234E"/>
    <w:rsid w:val="00E82391"/>
    <w:rsid w:val="00E823B2"/>
    <w:rsid w:val="00E8314A"/>
    <w:rsid w:val="00E833B7"/>
    <w:rsid w:val="00E83F45"/>
    <w:rsid w:val="00E83F49"/>
    <w:rsid w:val="00E84901"/>
    <w:rsid w:val="00E84C05"/>
    <w:rsid w:val="00E85045"/>
    <w:rsid w:val="00E85327"/>
    <w:rsid w:val="00E8559B"/>
    <w:rsid w:val="00E8561C"/>
    <w:rsid w:val="00E8565E"/>
    <w:rsid w:val="00E85934"/>
    <w:rsid w:val="00E859FE"/>
    <w:rsid w:val="00E85A14"/>
    <w:rsid w:val="00E85F46"/>
    <w:rsid w:val="00E85F5B"/>
    <w:rsid w:val="00E861E4"/>
    <w:rsid w:val="00E86FD4"/>
    <w:rsid w:val="00E86FEF"/>
    <w:rsid w:val="00E87264"/>
    <w:rsid w:val="00E87600"/>
    <w:rsid w:val="00E87848"/>
    <w:rsid w:val="00E87BC6"/>
    <w:rsid w:val="00E9019D"/>
    <w:rsid w:val="00E906D5"/>
    <w:rsid w:val="00E909E4"/>
    <w:rsid w:val="00E909F4"/>
    <w:rsid w:val="00E90BC0"/>
    <w:rsid w:val="00E90CD9"/>
    <w:rsid w:val="00E91021"/>
    <w:rsid w:val="00E9182E"/>
    <w:rsid w:val="00E91D51"/>
    <w:rsid w:val="00E92560"/>
    <w:rsid w:val="00E92988"/>
    <w:rsid w:val="00E92B80"/>
    <w:rsid w:val="00E92FC5"/>
    <w:rsid w:val="00E9364A"/>
    <w:rsid w:val="00E93879"/>
    <w:rsid w:val="00E93902"/>
    <w:rsid w:val="00E9411B"/>
    <w:rsid w:val="00E941C2"/>
    <w:rsid w:val="00E94609"/>
    <w:rsid w:val="00E948D8"/>
    <w:rsid w:val="00E94AA3"/>
    <w:rsid w:val="00E94B26"/>
    <w:rsid w:val="00E94C7E"/>
    <w:rsid w:val="00E94D69"/>
    <w:rsid w:val="00E94E2E"/>
    <w:rsid w:val="00E95230"/>
    <w:rsid w:val="00E95314"/>
    <w:rsid w:val="00E955B9"/>
    <w:rsid w:val="00E959A0"/>
    <w:rsid w:val="00E95FF5"/>
    <w:rsid w:val="00E961B1"/>
    <w:rsid w:val="00E96829"/>
    <w:rsid w:val="00E9685D"/>
    <w:rsid w:val="00E9697F"/>
    <w:rsid w:val="00E96BB9"/>
    <w:rsid w:val="00E97113"/>
    <w:rsid w:val="00E97192"/>
    <w:rsid w:val="00E9740C"/>
    <w:rsid w:val="00E9756C"/>
    <w:rsid w:val="00E9759E"/>
    <w:rsid w:val="00E97672"/>
    <w:rsid w:val="00E97852"/>
    <w:rsid w:val="00E97948"/>
    <w:rsid w:val="00E97DD2"/>
    <w:rsid w:val="00EA00B1"/>
    <w:rsid w:val="00EA012F"/>
    <w:rsid w:val="00EA0203"/>
    <w:rsid w:val="00EA02C2"/>
    <w:rsid w:val="00EA03B4"/>
    <w:rsid w:val="00EA046C"/>
    <w:rsid w:val="00EA057A"/>
    <w:rsid w:val="00EA0732"/>
    <w:rsid w:val="00EA0AB6"/>
    <w:rsid w:val="00EA0BE3"/>
    <w:rsid w:val="00EA0D9E"/>
    <w:rsid w:val="00EA107C"/>
    <w:rsid w:val="00EA1F1D"/>
    <w:rsid w:val="00EA1FFA"/>
    <w:rsid w:val="00EA208F"/>
    <w:rsid w:val="00EA2457"/>
    <w:rsid w:val="00EA2619"/>
    <w:rsid w:val="00EA2847"/>
    <w:rsid w:val="00EA2C37"/>
    <w:rsid w:val="00EA31C3"/>
    <w:rsid w:val="00EA3289"/>
    <w:rsid w:val="00EA3530"/>
    <w:rsid w:val="00EA355E"/>
    <w:rsid w:val="00EA375F"/>
    <w:rsid w:val="00EA37D8"/>
    <w:rsid w:val="00EA397C"/>
    <w:rsid w:val="00EA3A8B"/>
    <w:rsid w:val="00EA3AEE"/>
    <w:rsid w:val="00EA3CB3"/>
    <w:rsid w:val="00EA3D89"/>
    <w:rsid w:val="00EA3DF6"/>
    <w:rsid w:val="00EA4050"/>
    <w:rsid w:val="00EA4187"/>
    <w:rsid w:val="00EA4195"/>
    <w:rsid w:val="00EA4203"/>
    <w:rsid w:val="00EA430D"/>
    <w:rsid w:val="00EA46A1"/>
    <w:rsid w:val="00EA4721"/>
    <w:rsid w:val="00EA48EA"/>
    <w:rsid w:val="00EA4AEC"/>
    <w:rsid w:val="00EA4AED"/>
    <w:rsid w:val="00EA4B31"/>
    <w:rsid w:val="00EA4B9D"/>
    <w:rsid w:val="00EA4BF3"/>
    <w:rsid w:val="00EA4C16"/>
    <w:rsid w:val="00EA4C9A"/>
    <w:rsid w:val="00EA4FDF"/>
    <w:rsid w:val="00EA5215"/>
    <w:rsid w:val="00EA52D1"/>
    <w:rsid w:val="00EA5391"/>
    <w:rsid w:val="00EA53E6"/>
    <w:rsid w:val="00EA55E1"/>
    <w:rsid w:val="00EA5954"/>
    <w:rsid w:val="00EA5A7A"/>
    <w:rsid w:val="00EA6082"/>
    <w:rsid w:val="00EA6327"/>
    <w:rsid w:val="00EA6BAE"/>
    <w:rsid w:val="00EA6ECC"/>
    <w:rsid w:val="00EA7041"/>
    <w:rsid w:val="00EA70D1"/>
    <w:rsid w:val="00EA71A0"/>
    <w:rsid w:val="00EA7671"/>
    <w:rsid w:val="00EA78ED"/>
    <w:rsid w:val="00EA7990"/>
    <w:rsid w:val="00EA7C53"/>
    <w:rsid w:val="00EA7F3A"/>
    <w:rsid w:val="00EA7F5A"/>
    <w:rsid w:val="00EB1214"/>
    <w:rsid w:val="00EB12CE"/>
    <w:rsid w:val="00EB151A"/>
    <w:rsid w:val="00EB15ED"/>
    <w:rsid w:val="00EB1631"/>
    <w:rsid w:val="00EB1639"/>
    <w:rsid w:val="00EB1864"/>
    <w:rsid w:val="00EB22F1"/>
    <w:rsid w:val="00EB2830"/>
    <w:rsid w:val="00EB28C2"/>
    <w:rsid w:val="00EB28D3"/>
    <w:rsid w:val="00EB2B85"/>
    <w:rsid w:val="00EB2C1C"/>
    <w:rsid w:val="00EB3404"/>
    <w:rsid w:val="00EB3892"/>
    <w:rsid w:val="00EB3965"/>
    <w:rsid w:val="00EB3A2C"/>
    <w:rsid w:val="00EB3C6B"/>
    <w:rsid w:val="00EB3EF7"/>
    <w:rsid w:val="00EB4507"/>
    <w:rsid w:val="00EB468C"/>
    <w:rsid w:val="00EB46A5"/>
    <w:rsid w:val="00EB4B45"/>
    <w:rsid w:val="00EB4DC6"/>
    <w:rsid w:val="00EB5048"/>
    <w:rsid w:val="00EB5147"/>
    <w:rsid w:val="00EB5314"/>
    <w:rsid w:val="00EB542D"/>
    <w:rsid w:val="00EB5A66"/>
    <w:rsid w:val="00EB60D1"/>
    <w:rsid w:val="00EB6129"/>
    <w:rsid w:val="00EB61FC"/>
    <w:rsid w:val="00EB6320"/>
    <w:rsid w:val="00EB63F8"/>
    <w:rsid w:val="00EB7357"/>
    <w:rsid w:val="00EB75EC"/>
    <w:rsid w:val="00EB788D"/>
    <w:rsid w:val="00EB7D7D"/>
    <w:rsid w:val="00EB7DD5"/>
    <w:rsid w:val="00EB7EE4"/>
    <w:rsid w:val="00EB7F79"/>
    <w:rsid w:val="00EC0297"/>
    <w:rsid w:val="00EC049A"/>
    <w:rsid w:val="00EC080A"/>
    <w:rsid w:val="00EC0E57"/>
    <w:rsid w:val="00EC1086"/>
    <w:rsid w:val="00EC10A4"/>
    <w:rsid w:val="00EC12DC"/>
    <w:rsid w:val="00EC1409"/>
    <w:rsid w:val="00EC1500"/>
    <w:rsid w:val="00EC15EA"/>
    <w:rsid w:val="00EC15FD"/>
    <w:rsid w:val="00EC1694"/>
    <w:rsid w:val="00EC191D"/>
    <w:rsid w:val="00EC209B"/>
    <w:rsid w:val="00EC2174"/>
    <w:rsid w:val="00EC242E"/>
    <w:rsid w:val="00EC2533"/>
    <w:rsid w:val="00EC3132"/>
    <w:rsid w:val="00EC315B"/>
    <w:rsid w:val="00EC3BA6"/>
    <w:rsid w:val="00EC3DA0"/>
    <w:rsid w:val="00EC3EFD"/>
    <w:rsid w:val="00EC3FCE"/>
    <w:rsid w:val="00EC476F"/>
    <w:rsid w:val="00EC493C"/>
    <w:rsid w:val="00EC4B13"/>
    <w:rsid w:val="00EC4DDF"/>
    <w:rsid w:val="00EC4EDE"/>
    <w:rsid w:val="00EC54FD"/>
    <w:rsid w:val="00EC5C20"/>
    <w:rsid w:val="00EC5C43"/>
    <w:rsid w:val="00EC5CED"/>
    <w:rsid w:val="00EC61EE"/>
    <w:rsid w:val="00EC66DA"/>
    <w:rsid w:val="00EC69BF"/>
    <w:rsid w:val="00EC6B56"/>
    <w:rsid w:val="00EC6C31"/>
    <w:rsid w:val="00EC71E9"/>
    <w:rsid w:val="00EC72E6"/>
    <w:rsid w:val="00EC7361"/>
    <w:rsid w:val="00EC75A5"/>
    <w:rsid w:val="00EC7A2C"/>
    <w:rsid w:val="00ED00FA"/>
    <w:rsid w:val="00ED069B"/>
    <w:rsid w:val="00ED06F5"/>
    <w:rsid w:val="00ED08C2"/>
    <w:rsid w:val="00ED08CA"/>
    <w:rsid w:val="00ED1003"/>
    <w:rsid w:val="00ED10FC"/>
    <w:rsid w:val="00ED126C"/>
    <w:rsid w:val="00ED13D5"/>
    <w:rsid w:val="00ED1454"/>
    <w:rsid w:val="00ED17D3"/>
    <w:rsid w:val="00ED24E1"/>
    <w:rsid w:val="00ED2ACC"/>
    <w:rsid w:val="00ED2B80"/>
    <w:rsid w:val="00ED2E44"/>
    <w:rsid w:val="00ED2EC0"/>
    <w:rsid w:val="00ED2F2A"/>
    <w:rsid w:val="00ED2F63"/>
    <w:rsid w:val="00ED2F85"/>
    <w:rsid w:val="00ED303A"/>
    <w:rsid w:val="00ED3216"/>
    <w:rsid w:val="00ED3286"/>
    <w:rsid w:val="00ED328B"/>
    <w:rsid w:val="00ED3B15"/>
    <w:rsid w:val="00ED3B45"/>
    <w:rsid w:val="00ED40AF"/>
    <w:rsid w:val="00ED4238"/>
    <w:rsid w:val="00ED458E"/>
    <w:rsid w:val="00ED49E3"/>
    <w:rsid w:val="00ED4DB6"/>
    <w:rsid w:val="00ED5316"/>
    <w:rsid w:val="00ED5330"/>
    <w:rsid w:val="00ED5454"/>
    <w:rsid w:val="00ED547A"/>
    <w:rsid w:val="00ED5760"/>
    <w:rsid w:val="00ED5AAF"/>
    <w:rsid w:val="00ED6264"/>
    <w:rsid w:val="00ED672E"/>
    <w:rsid w:val="00ED6957"/>
    <w:rsid w:val="00ED7070"/>
    <w:rsid w:val="00ED71B6"/>
    <w:rsid w:val="00ED73F9"/>
    <w:rsid w:val="00ED764B"/>
    <w:rsid w:val="00ED7868"/>
    <w:rsid w:val="00ED79BA"/>
    <w:rsid w:val="00ED7CBF"/>
    <w:rsid w:val="00ED7CEA"/>
    <w:rsid w:val="00ED7DDE"/>
    <w:rsid w:val="00ED7F80"/>
    <w:rsid w:val="00EE04F1"/>
    <w:rsid w:val="00EE05F4"/>
    <w:rsid w:val="00EE0618"/>
    <w:rsid w:val="00EE0787"/>
    <w:rsid w:val="00EE0829"/>
    <w:rsid w:val="00EE0D1F"/>
    <w:rsid w:val="00EE0D5F"/>
    <w:rsid w:val="00EE1424"/>
    <w:rsid w:val="00EE17AF"/>
    <w:rsid w:val="00EE1A0E"/>
    <w:rsid w:val="00EE1E09"/>
    <w:rsid w:val="00EE1FA1"/>
    <w:rsid w:val="00EE27E9"/>
    <w:rsid w:val="00EE2A56"/>
    <w:rsid w:val="00EE2D6D"/>
    <w:rsid w:val="00EE2E1A"/>
    <w:rsid w:val="00EE31BF"/>
    <w:rsid w:val="00EE3434"/>
    <w:rsid w:val="00EE34D0"/>
    <w:rsid w:val="00EE3543"/>
    <w:rsid w:val="00EE37B3"/>
    <w:rsid w:val="00EE38C8"/>
    <w:rsid w:val="00EE3A4B"/>
    <w:rsid w:val="00EE3ADE"/>
    <w:rsid w:val="00EE3C72"/>
    <w:rsid w:val="00EE3CD6"/>
    <w:rsid w:val="00EE3D81"/>
    <w:rsid w:val="00EE43A4"/>
    <w:rsid w:val="00EE4646"/>
    <w:rsid w:val="00EE4B1D"/>
    <w:rsid w:val="00EE5079"/>
    <w:rsid w:val="00EE50DF"/>
    <w:rsid w:val="00EE5143"/>
    <w:rsid w:val="00EE5206"/>
    <w:rsid w:val="00EE524D"/>
    <w:rsid w:val="00EE5931"/>
    <w:rsid w:val="00EE59CD"/>
    <w:rsid w:val="00EE5AE0"/>
    <w:rsid w:val="00EE5BCC"/>
    <w:rsid w:val="00EE6568"/>
    <w:rsid w:val="00EE6649"/>
    <w:rsid w:val="00EE686F"/>
    <w:rsid w:val="00EE692F"/>
    <w:rsid w:val="00EE69B6"/>
    <w:rsid w:val="00EE6FFE"/>
    <w:rsid w:val="00EE732B"/>
    <w:rsid w:val="00EE77CA"/>
    <w:rsid w:val="00EF02B8"/>
    <w:rsid w:val="00EF03C3"/>
    <w:rsid w:val="00EF04DD"/>
    <w:rsid w:val="00EF080C"/>
    <w:rsid w:val="00EF0B1A"/>
    <w:rsid w:val="00EF0B54"/>
    <w:rsid w:val="00EF0B61"/>
    <w:rsid w:val="00EF1007"/>
    <w:rsid w:val="00EF10AF"/>
    <w:rsid w:val="00EF1C7E"/>
    <w:rsid w:val="00EF1D6E"/>
    <w:rsid w:val="00EF2B36"/>
    <w:rsid w:val="00EF3306"/>
    <w:rsid w:val="00EF3357"/>
    <w:rsid w:val="00EF368A"/>
    <w:rsid w:val="00EF3A2A"/>
    <w:rsid w:val="00EF3C8B"/>
    <w:rsid w:val="00EF4079"/>
    <w:rsid w:val="00EF409C"/>
    <w:rsid w:val="00EF4232"/>
    <w:rsid w:val="00EF44B9"/>
    <w:rsid w:val="00EF458A"/>
    <w:rsid w:val="00EF46A0"/>
    <w:rsid w:val="00EF4709"/>
    <w:rsid w:val="00EF4A3E"/>
    <w:rsid w:val="00EF4AC7"/>
    <w:rsid w:val="00EF4F5E"/>
    <w:rsid w:val="00EF5064"/>
    <w:rsid w:val="00EF52BB"/>
    <w:rsid w:val="00EF53EC"/>
    <w:rsid w:val="00EF54B0"/>
    <w:rsid w:val="00EF5971"/>
    <w:rsid w:val="00EF5A43"/>
    <w:rsid w:val="00EF5B0E"/>
    <w:rsid w:val="00EF5C1B"/>
    <w:rsid w:val="00EF5E00"/>
    <w:rsid w:val="00EF60DD"/>
    <w:rsid w:val="00EF6216"/>
    <w:rsid w:val="00EF671E"/>
    <w:rsid w:val="00EF6860"/>
    <w:rsid w:val="00EF688A"/>
    <w:rsid w:val="00EF6B4A"/>
    <w:rsid w:val="00EF70CE"/>
    <w:rsid w:val="00EF72B2"/>
    <w:rsid w:val="00EF7499"/>
    <w:rsid w:val="00EF74D0"/>
    <w:rsid w:val="00EF7520"/>
    <w:rsid w:val="00EF7651"/>
    <w:rsid w:val="00EF76D0"/>
    <w:rsid w:val="00EF7A07"/>
    <w:rsid w:val="00EF7CE2"/>
    <w:rsid w:val="00EF7E39"/>
    <w:rsid w:val="00F0027E"/>
    <w:rsid w:val="00F006A2"/>
    <w:rsid w:val="00F00A6C"/>
    <w:rsid w:val="00F00C27"/>
    <w:rsid w:val="00F00D61"/>
    <w:rsid w:val="00F01154"/>
    <w:rsid w:val="00F019D5"/>
    <w:rsid w:val="00F01EE6"/>
    <w:rsid w:val="00F023B5"/>
    <w:rsid w:val="00F02955"/>
    <w:rsid w:val="00F02B6A"/>
    <w:rsid w:val="00F02C85"/>
    <w:rsid w:val="00F02F3B"/>
    <w:rsid w:val="00F0305E"/>
    <w:rsid w:val="00F0307D"/>
    <w:rsid w:val="00F03576"/>
    <w:rsid w:val="00F03648"/>
    <w:rsid w:val="00F0392A"/>
    <w:rsid w:val="00F03B62"/>
    <w:rsid w:val="00F03FD9"/>
    <w:rsid w:val="00F04178"/>
    <w:rsid w:val="00F04488"/>
    <w:rsid w:val="00F044B9"/>
    <w:rsid w:val="00F04B72"/>
    <w:rsid w:val="00F04B85"/>
    <w:rsid w:val="00F04D4B"/>
    <w:rsid w:val="00F04DB1"/>
    <w:rsid w:val="00F04FD7"/>
    <w:rsid w:val="00F0534A"/>
    <w:rsid w:val="00F05541"/>
    <w:rsid w:val="00F0569D"/>
    <w:rsid w:val="00F0577F"/>
    <w:rsid w:val="00F05B27"/>
    <w:rsid w:val="00F0674A"/>
    <w:rsid w:val="00F06CA2"/>
    <w:rsid w:val="00F071AE"/>
    <w:rsid w:val="00F071BB"/>
    <w:rsid w:val="00F074A6"/>
    <w:rsid w:val="00F075A8"/>
    <w:rsid w:val="00F07917"/>
    <w:rsid w:val="00F100C4"/>
    <w:rsid w:val="00F1051E"/>
    <w:rsid w:val="00F10700"/>
    <w:rsid w:val="00F10703"/>
    <w:rsid w:val="00F10760"/>
    <w:rsid w:val="00F10781"/>
    <w:rsid w:val="00F10A0D"/>
    <w:rsid w:val="00F10B79"/>
    <w:rsid w:val="00F110E3"/>
    <w:rsid w:val="00F11835"/>
    <w:rsid w:val="00F11945"/>
    <w:rsid w:val="00F11E6A"/>
    <w:rsid w:val="00F11E92"/>
    <w:rsid w:val="00F120D0"/>
    <w:rsid w:val="00F12351"/>
    <w:rsid w:val="00F124AB"/>
    <w:rsid w:val="00F125F4"/>
    <w:rsid w:val="00F1279C"/>
    <w:rsid w:val="00F128F0"/>
    <w:rsid w:val="00F12A1D"/>
    <w:rsid w:val="00F12CB4"/>
    <w:rsid w:val="00F12E9D"/>
    <w:rsid w:val="00F12FDB"/>
    <w:rsid w:val="00F130C3"/>
    <w:rsid w:val="00F13149"/>
    <w:rsid w:val="00F131DA"/>
    <w:rsid w:val="00F13253"/>
    <w:rsid w:val="00F1328A"/>
    <w:rsid w:val="00F13A38"/>
    <w:rsid w:val="00F13A92"/>
    <w:rsid w:val="00F13BCF"/>
    <w:rsid w:val="00F13E35"/>
    <w:rsid w:val="00F141A3"/>
    <w:rsid w:val="00F141FB"/>
    <w:rsid w:val="00F144E9"/>
    <w:rsid w:val="00F1459F"/>
    <w:rsid w:val="00F14945"/>
    <w:rsid w:val="00F149EF"/>
    <w:rsid w:val="00F14E2C"/>
    <w:rsid w:val="00F152E8"/>
    <w:rsid w:val="00F1589C"/>
    <w:rsid w:val="00F15A3D"/>
    <w:rsid w:val="00F15B47"/>
    <w:rsid w:val="00F15BEC"/>
    <w:rsid w:val="00F16179"/>
    <w:rsid w:val="00F1672C"/>
    <w:rsid w:val="00F16D6F"/>
    <w:rsid w:val="00F17074"/>
    <w:rsid w:val="00F17091"/>
    <w:rsid w:val="00F17520"/>
    <w:rsid w:val="00F176A3"/>
    <w:rsid w:val="00F178F2"/>
    <w:rsid w:val="00F1793D"/>
    <w:rsid w:val="00F17D36"/>
    <w:rsid w:val="00F17ED0"/>
    <w:rsid w:val="00F17EDC"/>
    <w:rsid w:val="00F17F34"/>
    <w:rsid w:val="00F17F38"/>
    <w:rsid w:val="00F2021E"/>
    <w:rsid w:val="00F20312"/>
    <w:rsid w:val="00F20518"/>
    <w:rsid w:val="00F20589"/>
    <w:rsid w:val="00F205A9"/>
    <w:rsid w:val="00F20B98"/>
    <w:rsid w:val="00F21678"/>
    <w:rsid w:val="00F217F9"/>
    <w:rsid w:val="00F2188E"/>
    <w:rsid w:val="00F21972"/>
    <w:rsid w:val="00F21E81"/>
    <w:rsid w:val="00F21FFD"/>
    <w:rsid w:val="00F22398"/>
    <w:rsid w:val="00F22915"/>
    <w:rsid w:val="00F22A83"/>
    <w:rsid w:val="00F230AA"/>
    <w:rsid w:val="00F23412"/>
    <w:rsid w:val="00F23593"/>
    <w:rsid w:val="00F2372F"/>
    <w:rsid w:val="00F23CE3"/>
    <w:rsid w:val="00F23EA5"/>
    <w:rsid w:val="00F24506"/>
    <w:rsid w:val="00F24658"/>
    <w:rsid w:val="00F24780"/>
    <w:rsid w:val="00F247F2"/>
    <w:rsid w:val="00F24B2E"/>
    <w:rsid w:val="00F24E0C"/>
    <w:rsid w:val="00F2565B"/>
    <w:rsid w:val="00F25912"/>
    <w:rsid w:val="00F25A88"/>
    <w:rsid w:val="00F25A97"/>
    <w:rsid w:val="00F25E5A"/>
    <w:rsid w:val="00F26163"/>
    <w:rsid w:val="00F26203"/>
    <w:rsid w:val="00F2647D"/>
    <w:rsid w:val="00F264A3"/>
    <w:rsid w:val="00F26BA9"/>
    <w:rsid w:val="00F26D0A"/>
    <w:rsid w:val="00F26F8D"/>
    <w:rsid w:val="00F27003"/>
    <w:rsid w:val="00F27420"/>
    <w:rsid w:val="00F275C5"/>
    <w:rsid w:val="00F3035A"/>
    <w:rsid w:val="00F3040F"/>
    <w:rsid w:val="00F30824"/>
    <w:rsid w:val="00F3098D"/>
    <w:rsid w:val="00F30DD6"/>
    <w:rsid w:val="00F30FA7"/>
    <w:rsid w:val="00F313A8"/>
    <w:rsid w:val="00F313BD"/>
    <w:rsid w:val="00F3160E"/>
    <w:rsid w:val="00F318E2"/>
    <w:rsid w:val="00F31BDC"/>
    <w:rsid w:val="00F31E92"/>
    <w:rsid w:val="00F31FB3"/>
    <w:rsid w:val="00F32013"/>
    <w:rsid w:val="00F3266D"/>
    <w:rsid w:val="00F326A6"/>
    <w:rsid w:val="00F32BD7"/>
    <w:rsid w:val="00F32C4B"/>
    <w:rsid w:val="00F32D4C"/>
    <w:rsid w:val="00F3317B"/>
    <w:rsid w:val="00F332C5"/>
    <w:rsid w:val="00F33559"/>
    <w:rsid w:val="00F33592"/>
    <w:rsid w:val="00F33701"/>
    <w:rsid w:val="00F33A7B"/>
    <w:rsid w:val="00F33A8F"/>
    <w:rsid w:val="00F33BDC"/>
    <w:rsid w:val="00F33C8A"/>
    <w:rsid w:val="00F33DD0"/>
    <w:rsid w:val="00F33F26"/>
    <w:rsid w:val="00F3408B"/>
    <w:rsid w:val="00F34260"/>
    <w:rsid w:val="00F3429E"/>
    <w:rsid w:val="00F34518"/>
    <w:rsid w:val="00F34869"/>
    <w:rsid w:val="00F34C28"/>
    <w:rsid w:val="00F34D84"/>
    <w:rsid w:val="00F3502D"/>
    <w:rsid w:val="00F35077"/>
    <w:rsid w:val="00F35085"/>
    <w:rsid w:val="00F353D3"/>
    <w:rsid w:val="00F35778"/>
    <w:rsid w:val="00F35A70"/>
    <w:rsid w:val="00F35EB9"/>
    <w:rsid w:val="00F35ED1"/>
    <w:rsid w:val="00F36A5F"/>
    <w:rsid w:val="00F36C16"/>
    <w:rsid w:val="00F36FB8"/>
    <w:rsid w:val="00F37292"/>
    <w:rsid w:val="00F376B9"/>
    <w:rsid w:val="00F376E1"/>
    <w:rsid w:val="00F379EA"/>
    <w:rsid w:val="00F37C15"/>
    <w:rsid w:val="00F37F07"/>
    <w:rsid w:val="00F37F74"/>
    <w:rsid w:val="00F400BF"/>
    <w:rsid w:val="00F406A5"/>
    <w:rsid w:val="00F40B53"/>
    <w:rsid w:val="00F40BED"/>
    <w:rsid w:val="00F41003"/>
    <w:rsid w:val="00F4119D"/>
    <w:rsid w:val="00F415E3"/>
    <w:rsid w:val="00F419C9"/>
    <w:rsid w:val="00F41D6F"/>
    <w:rsid w:val="00F41E5A"/>
    <w:rsid w:val="00F41FFD"/>
    <w:rsid w:val="00F421E4"/>
    <w:rsid w:val="00F423AA"/>
    <w:rsid w:val="00F42548"/>
    <w:rsid w:val="00F4267E"/>
    <w:rsid w:val="00F429DE"/>
    <w:rsid w:val="00F42A7C"/>
    <w:rsid w:val="00F43682"/>
    <w:rsid w:val="00F43A51"/>
    <w:rsid w:val="00F43AAD"/>
    <w:rsid w:val="00F43F6F"/>
    <w:rsid w:val="00F44038"/>
    <w:rsid w:val="00F440B2"/>
    <w:rsid w:val="00F440B9"/>
    <w:rsid w:val="00F44289"/>
    <w:rsid w:val="00F442BA"/>
    <w:rsid w:val="00F445CE"/>
    <w:rsid w:val="00F4490C"/>
    <w:rsid w:val="00F44DB4"/>
    <w:rsid w:val="00F44DF9"/>
    <w:rsid w:val="00F45055"/>
    <w:rsid w:val="00F452CF"/>
    <w:rsid w:val="00F453F8"/>
    <w:rsid w:val="00F455B6"/>
    <w:rsid w:val="00F459A7"/>
    <w:rsid w:val="00F45D16"/>
    <w:rsid w:val="00F45F0C"/>
    <w:rsid w:val="00F468B7"/>
    <w:rsid w:val="00F46C24"/>
    <w:rsid w:val="00F46F23"/>
    <w:rsid w:val="00F47128"/>
    <w:rsid w:val="00F472A6"/>
    <w:rsid w:val="00F4747E"/>
    <w:rsid w:val="00F47517"/>
    <w:rsid w:val="00F475BB"/>
    <w:rsid w:val="00F475CB"/>
    <w:rsid w:val="00F4764C"/>
    <w:rsid w:val="00F476C8"/>
    <w:rsid w:val="00F478D4"/>
    <w:rsid w:val="00F47EC3"/>
    <w:rsid w:val="00F47F83"/>
    <w:rsid w:val="00F500D7"/>
    <w:rsid w:val="00F50263"/>
    <w:rsid w:val="00F504D2"/>
    <w:rsid w:val="00F505C5"/>
    <w:rsid w:val="00F50680"/>
    <w:rsid w:val="00F507F1"/>
    <w:rsid w:val="00F50C9D"/>
    <w:rsid w:val="00F50D47"/>
    <w:rsid w:val="00F5127C"/>
    <w:rsid w:val="00F51421"/>
    <w:rsid w:val="00F518C9"/>
    <w:rsid w:val="00F51B74"/>
    <w:rsid w:val="00F51E72"/>
    <w:rsid w:val="00F5201B"/>
    <w:rsid w:val="00F531DB"/>
    <w:rsid w:val="00F532B0"/>
    <w:rsid w:val="00F53622"/>
    <w:rsid w:val="00F53797"/>
    <w:rsid w:val="00F53A0D"/>
    <w:rsid w:val="00F53E07"/>
    <w:rsid w:val="00F53E79"/>
    <w:rsid w:val="00F53EE0"/>
    <w:rsid w:val="00F54299"/>
    <w:rsid w:val="00F546C5"/>
    <w:rsid w:val="00F546ED"/>
    <w:rsid w:val="00F548D9"/>
    <w:rsid w:val="00F54A40"/>
    <w:rsid w:val="00F54AA0"/>
    <w:rsid w:val="00F54C10"/>
    <w:rsid w:val="00F54DFE"/>
    <w:rsid w:val="00F55009"/>
    <w:rsid w:val="00F55015"/>
    <w:rsid w:val="00F550E3"/>
    <w:rsid w:val="00F550FE"/>
    <w:rsid w:val="00F55126"/>
    <w:rsid w:val="00F553A7"/>
    <w:rsid w:val="00F5556D"/>
    <w:rsid w:val="00F55804"/>
    <w:rsid w:val="00F55862"/>
    <w:rsid w:val="00F5614E"/>
    <w:rsid w:val="00F561BB"/>
    <w:rsid w:val="00F5664C"/>
    <w:rsid w:val="00F5680B"/>
    <w:rsid w:val="00F56866"/>
    <w:rsid w:val="00F5690A"/>
    <w:rsid w:val="00F56988"/>
    <w:rsid w:val="00F569E8"/>
    <w:rsid w:val="00F570A3"/>
    <w:rsid w:val="00F57489"/>
    <w:rsid w:val="00F57605"/>
    <w:rsid w:val="00F5766B"/>
    <w:rsid w:val="00F57A2A"/>
    <w:rsid w:val="00F6040D"/>
    <w:rsid w:val="00F60493"/>
    <w:rsid w:val="00F604AD"/>
    <w:rsid w:val="00F60675"/>
    <w:rsid w:val="00F606D5"/>
    <w:rsid w:val="00F607BA"/>
    <w:rsid w:val="00F60A1E"/>
    <w:rsid w:val="00F60B72"/>
    <w:rsid w:val="00F60BB6"/>
    <w:rsid w:val="00F60E88"/>
    <w:rsid w:val="00F6162F"/>
    <w:rsid w:val="00F61840"/>
    <w:rsid w:val="00F61BD2"/>
    <w:rsid w:val="00F61F86"/>
    <w:rsid w:val="00F6297E"/>
    <w:rsid w:val="00F62F72"/>
    <w:rsid w:val="00F63258"/>
    <w:rsid w:val="00F632D1"/>
    <w:rsid w:val="00F63862"/>
    <w:rsid w:val="00F63897"/>
    <w:rsid w:val="00F63DAB"/>
    <w:rsid w:val="00F63F08"/>
    <w:rsid w:val="00F640D6"/>
    <w:rsid w:val="00F641F0"/>
    <w:rsid w:val="00F643A0"/>
    <w:rsid w:val="00F64E8F"/>
    <w:rsid w:val="00F64F5B"/>
    <w:rsid w:val="00F64F6D"/>
    <w:rsid w:val="00F65449"/>
    <w:rsid w:val="00F6559D"/>
    <w:rsid w:val="00F65838"/>
    <w:rsid w:val="00F65AB1"/>
    <w:rsid w:val="00F65B1B"/>
    <w:rsid w:val="00F65C95"/>
    <w:rsid w:val="00F6617A"/>
    <w:rsid w:val="00F66335"/>
    <w:rsid w:val="00F667C8"/>
    <w:rsid w:val="00F669F9"/>
    <w:rsid w:val="00F66D30"/>
    <w:rsid w:val="00F66E74"/>
    <w:rsid w:val="00F66FAC"/>
    <w:rsid w:val="00F6764C"/>
    <w:rsid w:val="00F7020A"/>
    <w:rsid w:val="00F703FB"/>
    <w:rsid w:val="00F70445"/>
    <w:rsid w:val="00F708BE"/>
    <w:rsid w:val="00F7118D"/>
    <w:rsid w:val="00F71751"/>
    <w:rsid w:val="00F7186C"/>
    <w:rsid w:val="00F71954"/>
    <w:rsid w:val="00F71BD7"/>
    <w:rsid w:val="00F723A0"/>
    <w:rsid w:val="00F72561"/>
    <w:rsid w:val="00F72898"/>
    <w:rsid w:val="00F72CDD"/>
    <w:rsid w:val="00F72D9B"/>
    <w:rsid w:val="00F72DD9"/>
    <w:rsid w:val="00F72ED5"/>
    <w:rsid w:val="00F72F9C"/>
    <w:rsid w:val="00F730A3"/>
    <w:rsid w:val="00F730C1"/>
    <w:rsid w:val="00F730D0"/>
    <w:rsid w:val="00F732B2"/>
    <w:rsid w:val="00F73507"/>
    <w:rsid w:val="00F735D0"/>
    <w:rsid w:val="00F7382B"/>
    <w:rsid w:val="00F7383E"/>
    <w:rsid w:val="00F73B16"/>
    <w:rsid w:val="00F73B46"/>
    <w:rsid w:val="00F744CD"/>
    <w:rsid w:val="00F747EC"/>
    <w:rsid w:val="00F7492D"/>
    <w:rsid w:val="00F74CB2"/>
    <w:rsid w:val="00F74CCF"/>
    <w:rsid w:val="00F74E03"/>
    <w:rsid w:val="00F74ECA"/>
    <w:rsid w:val="00F750CF"/>
    <w:rsid w:val="00F755A0"/>
    <w:rsid w:val="00F7585F"/>
    <w:rsid w:val="00F75EA8"/>
    <w:rsid w:val="00F76568"/>
    <w:rsid w:val="00F76969"/>
    <w:rsid w:val="00F76AF1"/>
    <w:rsid w:val="00F76CB8"/>
    <w:rsid w:val="00F770E3"/>
    <w:rsid w:val="00F7736A"/>
    <w:rsid w:val="00F778DC"/>
    <w:rsid w:val="00F77B48"/>
    <w:rsid w:val="00F77B83"/>
    <w:rsid w:val="00F77BE6"/>
    <w:rsid w:val="00F77CA4"/>
    <w:rsid w:val="00F77F1A"/>
    <w:rsid w:val="00F77FEE"/>
    <w:rsid w:val="00F80245"/>
    <w:rsid w:val="00F8053D"/>
    <w:rsid w:val="00F80754"/>
    <w:rsid w:val="00F80908"/>
    <w:rsid w:val="00F80BFF"/>
    <w:rsid w:val="00F80C60"/>
    <w:rsid w:val="00F819B0"/>
    <w:rsid w:val="00F81F6A"/>
    <w:rsid w:val="00F8244F"/>
    <w:rsid w:val="00F82626"/>
    <w:rsid w:val="00F829EB"/>
    <w:rsid w:val="00F82AB3"/>
    <w:rsid w:val="00F82B9D"/>
    <w:rsid w:val="00F82C4D"/>
    <w:rsid w:val="00F82F64"/>
    <w:rsid w:val="00F82FE2"/>
    <w:rsid w:val="00F83188"/>
    <w:rsid w:val="00F832B0"/>
    <w:rsid w:val="00F832B7"/>
    <w:rsid w:val="00F8366E"/>
    <w:rsid w:val="00F83C06"/>
    <w:rsid w:val="00F84202"/>
    <w:rsid w:val="00F8427F"/>
    <w:rsid w:val="00F8430A"/>
    <w:rsid w:val="00F84BA7"/>
    <w:rsid w:val="00F84CB8"/>
    <w:rsid w:val="00F84D6E"/>
    <w:rsid w:val="00F84DB1"/>
    <w:rsid w:val="00F8549E"/>
    <w:rsid w:val="00F85613"/>
    <w:rsid w:val="00F85637"/>
    <w:rsid w:val="00F857ED"/>
    <w:rsid w:val="00F85988"/>
    <w:rsid w:val="00F85AA6"/>
    <w:rsid w:val="00F85D49"/>
    <w:rsid w:val="00F85DEB"/>
    <w:rsid w:val="00F85EDF"/>
    <w:rsid w:val="00F86035"/>
    <w:rsid w:val="00F866A6"/>
    <w:rsid w:val="00F866DC"/>
    <w:rsid w:val="00F86990"/>
    <w:rsid w:val="00F86BAC"/>
    <w:rsid w:val="00F86DF6"/>
    <w:rsid w:val="00F86F25"/>
    <w:rsid w:val="00F86F7A"/>
    <w:rsid w:val="00F87017"/>
    <w:rsid w:val="00F8731F"/>
    <w:rsid w:val="00F90605"/>
    <w:rsid w:val="00F90707"/>
    <w:rsid w:val="00F90C7B"/>
    <w:rsid w:val="00F90F73"/>
    <w:rsid w:val="00F9100C"/>
    <w:rsid w:val="00F911E6"/>
    <w:rsid w:val="00F9143E"/>
    <w:rsid w:val="00F91867"/>
    <w:rsid w:val="00F91E54"/>
    <w:rsid w:val="00F9211F"/>
    <w:rsid w:val="00F9246B"/>
    <w:rsid w:val="00F92809"/>
    <w:rsid w:val="00F92BBC"/>
    <w:rsid w:val="00F92C54"/>
    <w:rsid w:val="00F92CFB"/>
    <w:rsid w:val="00F92EAE"/>
    <w:rsid w:val="00F93502"/>
    <w:rsid w:val="00F93CE7"/>
    <w:rsid w:val="00F93F61"/>
    <w:rsid w:val="00F93FA7"/>
    <w:rsid w:val="00F94211"/>
    <w:rsid w:val="00F948B9"/>
    <w:rsid w:val="00F949DA"/>
    <w:rsid w:val="00F94B88"/>
    <w:rsid w:val="00F94E52"/>
    <w:rsid w:val="00F951AF"/>
    <w:rsid w:val="00F957B4"/>
    <w:rsid w:val="00F958EF"/>
    <w:rsid w:val="00F95BA5"/>
    <w:rsid w:val="00F95BC7"/>
    <w:rsid w:val="00F95C2F"/>
    <w:rsid w:val="00F95C35"/>
    <w:rsid w:val="00F95C77"/>
    <w:rsid w:val="00F95F2E"/>
    <w:rsid w:val="00F961F4"/>
    <w:rsid w:val="00F96319"/>
    <w:rsid w:val="00F96448"/>
    <w:rsid w:val="00F964DC"/>
    <w:rsid w:val="00F96E08"/>
    <w:rsid w:val="00F97112"/>
    <w:rsid w:val="00F9799F"/>
    <w:rsid w:val="00F97DBC"/>
    <w:rsid w:val="00F97FAF"/>
    <w:rsid w:val="00FA027A"/>
    <w:rsid w:val="00FA038D"/>
    <w:rsid w:val="00FA0491"/>
    <w:rsid w:val="00FA089F"/>
    <w:rsid w:val="00FA0CFA"/>
    <w:rsid w:val="00FA0D7A"/>
    <w:rsid w:val="00FA0F93"/>
    <w:rsid w:val="00FA106D"/>
    <w:rsid w:val="00FA1070"/>
    <w:rsid w:val="00FA1262"/>
    <w:rsid w:val="00FA1389"/>
    <w:rsid w:val="00FA146D"/>
    <w:rsid w:val="00FA1491"/>
    <w:rsid w:val="00FA1724"/>
    <w:rsid w:val="00FA1745"/>
    <w:rsid w:val="00FA2059"/>
    <w:rsid w:val="00FA21BD"/>
    <w:rsid w:val="00FA22C2"/>
    <w:rsid w:val="00FA23FD"/>
    <w:rsid w:val="00FA2B4D"/>
    <w:rsid w:val="00FA2BEB"/>
    <w:rsid w:val="00FA2C13"/>
    <w:rsid w:val="00FA2DC0"/>
    <w:rsid w:val="00FA2EEB"/>
    <w:rsid w:val="00FA2F66"/>
    <w:rsid w:val="00FA31DA"/>
    <w:rsid w:val="00FA32A9"/>
    <w:rsid w:val="00FA32E7"/>
    <w:rsid w:val="00FA3312"/>
    <w:rsid w:val="00FA3F62"/>
    <w:rsid w:val="00FA4006"/>
    <w:rsid w:val="00FA4009"/>
    <w:rsid w:val="00FA4095"/>
    <w:rsid w:val="00FA40EE"/>
    <w:rsid w:val="00FA413A"/>
    <w:rsid w:val="00FA4460"/>
    <w:rsid w:val="00FA44EA"/>
    <w:rsid w:val="00FA452F"/>
    <w:rsid w:val="00FA4A4F"/>
    <w:rsid w:val="00FA4A94"/>
    <w:rsid w:val="00FA5128"/>
    <w:rsid w:val="00FA5583"/>
    <w:rsid w:val="00FA5705"/>
    <w:rsid w:val="00FA5845"/>
    <w:rsid w:val="00FA58DC"/>
    <w:rsid w:val="00FA5A31"/>
    <w:rsid w:val="00FA5B3D"/>
    <w:rsid w:val="00FA5C8C"/>
    <w:rsid w:val="00FA5DA4"/>
    <w:rsid w:val="00FA5E30"/>
    <w:rsid w:val="00FA6079"/>
    <w:rsid w:val="00FA60C8"/>
    <w:rsid w:val="00FA6535"/>
    <w:rsid w:val="00FA655D"/>
    <w:rsid w:val="00FA663A"/>
    <w:rsid w:val="00FA6864"/>
    <w:rsid w:val="00FA6880"/>
    <w:rsid w:val="00FA6C5B"/>
    <w:rsid w:val="00FA6FDF"/>
    <w:rsid w:val="00FA70A5"/>
    <w:rsid w:val="00FA73B8"/>
    <w:rsid w:val="00FA7403"/>
    <w:rsid w:val="00FA7532"/>
    <w:rsid w:val="00FA79B4"/>
    <w:rsid w:val="00FA79CB"/>
    <w:rsid w:val="00FA7A1C"/>
    <w:rsid w:val="00FA7BEA"/>
    <w:rsid w:val="00FA7CB4"/>
    <w:rsid w:val="00FA7D11"/>
    <w:rsid w:val="00FA7D82"/>
    <w:rsid w:val="00FA7F8A"/>
    <w:rsid w:val="00FB0023"/>
    <w:rsid w:val="00FB0092"/>
    <w:rsid w:val="00FB0446"/>
    <w:rsid w:val="00FB05FF"/>
    <w:rsid w:val="00FB06EF"/>
    <w:rsid w:val="00FB07E8"/>
    <w:rsid w:val="00FB0C59"/>
    <w:rsid w:val="00FB0D73"/>
    <w:rsid w:val="00FB0DD0"/>
    <w:rsid w:val="00FB0F75"/>
    <w:rsid w:val="00FB0FD4"/>
    <w:rsid w:val="00FB1002"/>
    <w:rsid w:val="00FB1308"/>
    <w:rsid w:val="00FB17B8"/>
    <w:rsid w:val="00FB1A9C"/>
    <w:rsid w:val="00FB1EEC"/>
    <w:rsid w:val="00FB217B"/>
    <w:rsid w:val="00FB2209"/>
    <w:rsid w:val="00FB258F"/>
    <w:rsid w:val="00FB291B"/>
    <w:rsid w:val="00FB2B46"/>
    <w:rsid w:val="00FB2F4E"/>
    <w:rsid w:val="00FB3359"/>
    <w:rsid w:val="00FB33F0"/>
    <w:rsid w:val="00FB3458"/>
    <w:rsid w:val="00FB357E"/>
    <w:rsid w:val="00FB3993"/>
    <w:rsid w:val="00FB3E04"/>
    <w:rsid w:val="00FB3F64"/>
    <w:rsid w:val="00FB4078"/>
    <w:rsid w:val="00FB4404"/>
    <w:rsid w:val="00FB4762"/>
    <w:rsid w:val="00FB488B"/>
    <w:rsid w:val="00FB4D37"/>
    <w:rsid w:val="00FB4EFE"/>
    <w:rsid w:val="00FB55C2"/>
    <w:rsid w:val="00FB5DC4"/>
    <w:rsid w:val="00FB6161"/>
    <w:rsid w:val="00FB664F"/>
    <w:rsid w:val="00FB6AE2"/>
    <w:rsid w:val="00FB6F4B"/>
    <w:rsid w:val="00FB71A2"/>
    <w:rsid w:val="00FB7572"/>
    <w:rsid w:val="00FB7F08"/>
    <w:rsid w:val="00FC016C"/>
    <w:rsid w:val="00FC0518"/>
    <w:rsid w:val="00FC07D6"/>
    <w:rsid w:val="00FC07E5"/>
    <w:rsid w:val="00FC0DDA"/>
    <w:rsid w:val="00FC12DC"/>
    <w:rsid w:val="00FC134F"/>
    <w:rsid w:val="00FC1604"/>
    <w:rsid w:val="00FC1843"/>
    <w:rsid w:val="00FC1892"/>
    <w:rsid w:val="00FC192E"/>
    <w:rsid w:val="00FC1A6E"/>
    <w:rsid w:val="00FC2103"/>
    <w:rsid w:val="00FC2149"/>
    <w:rsid w:val="00FC2548"/>
    <w:rsid w:val="00FC2B67"/>
    <w:rsid w:val="00FC2E04"/>
    <w:rsid w:val="00FC3FF7"/>
    <w:rsid w:val="00FC458D"/>
    <w:rsid w:val="00FC460A"/>
    <w:rsid w:val="00FC47E1"/>
    <w:rsid w:val="00FC5132"/>
    <w:rsid w:val="00FC54C3"/>
    <w:rsid w:val="00FC5A72"/>
    <w:rsid w:val="00FC5B90"/>
    <w:rsid w:val="00FC5C80"/>
    <w:rsid w:val="00FC5EF6"/>
    <w:rsid w:val="00FC5F51"/>
    <w:rsid w:val="00FC61AB"/>
    <w:rsid w:val="00FC65CA"/>
    <w:rsid w:val="00FC65D9"/>
    <w:rsid w:val="00FC6A48"/>
    <w:rsid w:val="00FC6A9C"/>
    <w:rsid w:val="00FC6F36"/>
    <w:rsid w:val="00FC7187"/>
    <w:rsid w:val="00FC7353"/>
    <w:rsid w:val="00FC75D7"/>
    <w:rsid w:val="00FC7720"/>
    <w:rsid w:val="00FC7B77"/>
    <w:rsid w:val="00FC7D9F"/>
    <w:rsid w:val="00FC7FB2"/>
    <w:rsid w:val="00FD0168"/>
    <w:rsid w:val="00FD01D3"/>
    <w:rsid w:val="00FD0242"/>
    <w:rsid w:val="00FD057F"/>
    <w:rsid w:val="00FD06F2"/>
    <w:rsid w:val="00FD0BE6"/>
    <w:rsid w:val="00FD102F"/>
    <w:rsid w:val="00FD10EF"/>
    <w:rsid w:val="00FD11E5"/>
    <w:rsid w:val="00FD1225"/>
    <w:rsid w:val="00FD12B3"/>
    <w:rsid w:val="00FD14D2"/>
    <w:rsid w:val="00FD150F"/>
    <w:rsid w:val="00FD1520"/>
    <w:rsid w:val="00FD1899"/>
    <w:rsid w:val="00FD1927"/>
    <w:rsid w:val="00FD193A"/>
    <w:rsid w:val="00FD1AAA"/>
    <w:rsid w:val="00FD1C48"/>
    <w:rsid w:val="00FD1C72"/>
    <w:rsid w:val="00FD1D06"/>
    <w:rsid w:val="00FD1E7F"/>
    <w:rsid w:val="00FD22CC"/>
    <w:rsid w:val="00FD2480"/>
    <w:rsid w:val="00FD2712"/>
    <w:rsid w:val="00FD27D5"/>
    <w:rsid w:val="00FD28F1"/>
    <w:rsid w:val="00FD2A27"/>
    <w:rsid w:val="00FD2A44"/>
    <w:rsid w:val="00FD2B39"/>
    <w:rsid w:val="00FD2B7A"/>
    <w:rsid w:val="00FD2BC1"/>
    <w:rsid w:val="00FD2DD3"/>
    <w:rsid w:val="00FD363E"/>
    <w:rsid w:val="00FD376B"/>
    <w:rsid w:val="00FD3D06"/>
    <w:rsid w:val="00FD3F7C"/>
    <w:rsid w:val="00FD418E"/>
    <w:rsid w:val="00FD4526"/>
    <w:rsid w:val="00FD475C"/>
    <w:rsid w:val="00FD4CBC"/>
    <w:rsid w:val="00FD4E6F"/>
    <w:rsid w:val="00FD4FEE"/>
    <w:rsid w:val="00FD5094"/>
    <w:rsid w:val="00FD54F0"/>
    <w:rsid w:val="00FD58EA"/>
    <w:rsid w:val="00FD5AC4"/>
    <w:rsid w:val="00FD62B5"/>
    <w:rsid w:val="00FD667E"/>
    <w:rsid w:val="00FD678D"/>
    <w:rsid w:val="00FD67C0"/>
    <w:rsid w:val="00FD67D5"/>
    <w:rsid w:val="00FD6B53"/>
    <w:rsid w:val="00FD7368"/>
    <w:rsid w:val="00FD744C"/>
    <w:rsid w:val="00FD7543"/>
    <w:rsid w:val="00FD7645"/>
    <w:rsid w:val="00FD76C5"/>
    <w:rsid w:val="00FD7CC1"/>
    <w:rsid w:val="00FD7CE4"/>
    <w:rsid w:val="00FD7F5C"/>
    <w:rsid w:val="00FE01A0"/>
    <w:rsid w:val="00FE03A2"/>
    <w:rsid w:val="00FE0AA7"/>
    <w:rsid w:val="00FE11E2"/>
    <w:rsid w:val="00FE1310"/>
    <w:rsid w:val="00FE1624"/>
    <w:rsid w:val="00FE16D3"/>
    <w:rsid w:val="00FE1A23"/>
    <w:rsid w:val="00FE1A84"/>
    <w:rsid w:val="00FE200E"/>
    <w:rsid w:val="00FE20B5"/>
    <w:rsid w:val="00FE20BC"/>
    <w:rsid w:val="00FE2115"/>
    <w:rsid w:val="00FE2128"/>
    <w:rsid w:val="00FE2332"/>
    <w:rsid w:val="00FE2714"/>
    <w:rsid w:val="00FE2789"/>
    <w:rsid w:val="00FE27DF"/>
    <w:rsid w:val="00FE27FA"/>
    <w:rsid w:val="00FE2869"/>
    <w:rsid w:val="00FE29AC"/>
    <w:rsid w:val="00FE2F06"/>
    <w:rsid w:val="00FE3199"/>
    <w:rsid w:val="00FE33F2"/>
    <w:rsid w:val="00FE341F"/>
    <w:rsid w:val="00FE35B2"/>
    <w:rsid w:val="00FE37D9"/>
    <w:rsid w:val="00FE3B46"/>
    <w:rsid w:val="00FE3D7E"/>
    <w:rsid w:val="00FE3E76"/>
    <w:rsid w:val="00FE3EA3"/>
    <w:rsid w:val="00FE3F84"/>
    <w:rsid w:val="00FE4151"/>
    <w:rsid w:val="00FE4724"/>
    <w:rsid w:val="00FE4A9C"/>
    <w:rsid w:val="00FE4D4C"/>
    <w:rsid w:val="00FE4DA5"/>
    <w:rsid w:val="00FE4E21"/>
    <w:rsid w:val="00FE53BF"/>
    <w:rsid w:val="00FE5503"/>
    <w:rsid w:val="00FE5955"/>
    <w:rsid w:val="00FE598F"/>
    <w:rsid w:val="00FE5A42"/>
    <w:rsid w:val="00FE5B91"/>
    <w:rsid w:val="00FE63C2"/>
    <w:rsid w:val="00FE673B"/>
    <w:rsid w:val="00FE6783"/>
    <w:rsid w:val="00FE6A34"/>
    <w:rsid w:val="00FE6A82"/>
    <w:rsid w:val="00FE6F1E"/>
    <w:rsid w:val="00FE700B"/>
    <w:rsid w:val="00FE7C68"/>
    <w:rsid w:val="00FE7F6F"/>
    <w:rsid w:val="00FF0102"/>
    <w:rsid w:val="00FF0403"/>
    <w:rsid w:val="00FF0924"/>
    <w:rsid w:val="00FF0ADC"/>
    <w:rsid w:val="00FF0FEB"/>
    <w:rsid w:val="00FF1286"/>
    <w:rsid w:val="00FF12FC"/>
    <w:rsid w:val="00FF13DE"/>
    <w:rsid w:val="00FF15AE"/>
    <w:rsid w:val="00FF16C4"/>
    <w:rsid w:val="00FF174D"/>
    <w:rsid w:val="00FF1760"/>
    <w:rsid w:val="00FF1EA8"/>
    <w:rsid w:val="00FF204E"/>
    <w:rsid w:val="00FF2077"/>
    <w:rsid w:val="00FF21EB"/>
    <w:rsid w:val="00FF22FC"/>
    <w:rsid w:val="00FF233D"/>
    <w:rsid w:val="00FF2349"/>
    <w:rsid w:val="00FF262A"/>
    <w:rsid w:val="00FF2AFF"/>
    <w:rsid w:val="00FF2EE0"/>
    <w:rsid w:val="00FF314A"/>
    <w:rsid w:val="00FF326A"/>
    <w:rsid w:val="00FF358D"/>
    <w:rsid w:val="00FF3685"/>
    <w:rsid w:val="00FF37AE"/>
    <w:rsid w:val="00FF3998"/>
    <w:rsid w:val="00FF3D84"/>
    <w:rsid w:val="00FF3E8E"/>
    <w:rsid w:val="00FF43E2"/>
    <w:rsid w:val="00FF4728"/>
    <w:rsid w:val="00FF4EFE"/>
    <w:rsid w:val="00FF577E"/>
    <w:rsid w:val="00FF5DD1"/>
    <w:rsid w:val="00FF6078"/>
    <w:rsid w:val="00FF634C"/>
    <w:rsid w:val="00FF636B"/>
    <w:rsid w:val="00FF6458"/>
    <w:rsid w:val="00FF67F3"/>
    <w:rsid w:val="00FF68CD"/>
    <w:rsid w:val="00FF69ED"/>
    <w:rsid w:val="00FF6A1E"/>
    <w:rsid w:val="00FF6A7F"/>
    <w:rsid w:val="00FF6ADD"/>
    <w:rsid w:val="00FF6D7D"/>
    <w:rsid w:val="00FF769D"/>
    <w:rsid w:val="00FF7A46"/>
    <w:rsid w:val="00FF7C32"/>
    <w:rsid w:val="00FF7C88"/>
    <w:rsid w:val="00FF7CA3"/>
    <w:rsid w:val="00FF7EA4"/>
    <w:rsid w:val="010E6D40"/>
    <w:rsid w:val="013520F5"/>
    <w:rsid w:val="0169F3C5"/>
    <w:rsid w:val="0170AC2D"/>
    <w:rsid w:val="017E6E58"/>
    <w:rsid w:val="01A12637"/>
    <w:rsid w:val="01F5A122"/>
    <w:rsid w:val="025902D5"/>
    <w:rsid w:val="02AEA5A1"/>
    <w:rsid w:val="02E0C1CE"/>
    <w:rsid w:val="03091BDB"/>
    <w:rsid w:val="034EF185"/>
    <w:rsid w:val="03578BBD"/>
    <w:rsid w:val="03585D73"/>
    <w:rsid w:val="035E0CBB"/>
    <w:rsid w:val="038D01B6"/>
    <w:rsid w:val="03A70DED"/>
    <w:rsid w:val="03CC0773"/>
    <w:rsid w:val="03D4FD7E"/>
    <w:rsid w:val="03FB2F7A"/>
    <w:rsid w:val="041C63D4"/>
    <w:rsid w:val="0444A5C1"/>
    <w:rsid w:val="048FE858"/>
    <w:rsid w:val="04D45E7D"/>
    <w:rsid w:val="04E18FAE"/>
    <w:rsid w:val="058B44D5"/>
    <w:rsid w:val="0605765F"/>
    <w:rsid w:val="076A891C"/>
    <w:rsid w:val="07AC8082"/>
    <w:rsid w:val="07B0EDED"/>
    <w:rsid w:val="07E358E1"/>
    <w:rsid w:val="0839AAAF"/>
    <w:rsid w:val="08438A08"/>
    <w:rsid w:val="0873FE3E"/>
    <w:rsid w:val="09AD1525"/>
    <w:rsid w:val="0A297286"/>
    <w:rsid w:val="0A6C7056"/>
    <w:rsid w:val="0A8A875B"/>
    <w:rsid w:val="0B0591D7"/>
    <w:rsid w:val="0B5DF0BD"/>
    <w:rsid w:val="0BE536B5"/>
    <w:rsid w:val="0C27ABD3"/>
    <w:rsid w:val="0CE3F51B"/>
    <w:rsid w:val="0D1EA330"/>
    <w:rsid w:val="0D283F83"/>
    <w:rsid w:val="0DAA2FB9"/>
    <w:rsid w:val="0DF2B615"/>
    <w:rsid w:val="0E0D734F"/>
    <w:rsid w:val="0E180691"/>
    <w:rsid w:val="0E1A8EEC"/>
    <w:rsid w:val="0E831A30"/>
    <w:rsid w:val="0EC10806"/>
    <w:rsid w:val="0EED2873"/>
    <w:rsid w:val="0F429D47"/>
    <w:rsid w:val="105C1BF4"/>
    <w:rsid w:val="10923D8B"/>
    <w:rsid w:val="10A2E4C1"/>
    <w:rsid w:val="10B1ADF2"/>
    <w:rsid w:val="10BEB367"/>
    <w:rsid w:val="110B2DEC"/>
    <w:rsid w:val="11A60398"/>
    <w:rsid w:val="125508CE"/>
    <w:rsid w:val="1344F4EA"/>
    <w:rsid w:val="1349DD5D"/>
    <w:rsid w:val="13A2E719"/>
    <w:rsid w:val="13D6F50C"/>
    <w:rsid w:val="1423B263"/>
    <w:rsid w:val="144164B7"/>
    <w:rsid w:val="1448E5F5"/>
    <w:rsid w:val="144CE7B5"/>
    <w:rsid w:val="14956776"/>
    <w:rsid w:val="14D90FCA"/>
    <w:rsid w:val="15AC40CC"/>
    <w:rsid w:val="15FA0C86"/>
    <w:rsid w:val="164127CD"/>
    <w:rsid w:val="1690E545"/>
    <w:rsid w:val="16D27D59"/>
    <w:rsid w:val="172ED616"/>
    <w:rsid w:val="17808638"/>
    <w:rsid w:val="1786BEC8"/>
    <w:rsid w:val="17AE1818"/>
    <w:rsid w:val="17CAE61B"/>
    <w:rsid w:val="17E52F2A"/>
    <w:rsid w:val="1833F934"/>
    <w:rsid w:val="185A1C1D"/>
    <w:rsid w:val="1881EF7C"/>
    <w:rsid w:val="189BF873"/>
    <w:rsid w:val="1989FBBA"/>
    <w:rsid w:val="19CA8834"/>
    <w:rsid w:val="1A3396E4"/>
    <w:rsid w:val="1A4DE620"/>
    <w:rsid w:val="1A509395"/>
    <w:rsid w:val="1A75BF30"/>
    <w:rsid w:val="1AA8C74A"/>
    <w:rsid w:val="1AA9372D"/>
    <w:rsid w:val="1AB5A9BD"/>
    <w:rsid w:val="1ABB52A7"/>
    <w:rsid w:val="1ABEFDD3"/>
    <w:rsid w:val="1ADF201E"/>
    <w:rsid w:val="1B0FF468"/>
    <w:rsid w:val="1B350B30"/>
    <w:rsid w:val="1B37F549"/>
    <w:rsid w:val="1B56BC81"/>
    <w:rsid w:val="1BCA2FA0"/>
    <w:rsid w:val="1C041486"/>
    <w:rsid w:val="1D012DAB"/>
    <w:rsid w:val="1D885045"/>
    <w:rsid w:val="1DB34AF7"/>
    <w:rsid w:val="1DEE9716"/>
    <w:rsid w:val="1DEEC469"/>
    <w:rsid w:val="1E14E897"/>
    <w:rsid w:val="1E5400E9"/>
    <w:rsid w:val="1E63510C"/>
    <w:rsid w:val="1E8D38E7"/>
    <w:rsid w:val="1F0F2DF9"/>
    <w:rsid w:val="1F26732F"/>
    <w:rsid w:val="1F547843"/>
    <w:rsid w:val="1F7C8A27"/>
    <w:rsid w:val="1FD0029C"/>
    <w:rsid w:val="208DF0ED"/>
    <w:rsid w:val="209A5340"/>
    <w:rsid w:val="20D236EB"/>
    <w:rsid w:val="21588C5E"/>
    <w:rsid w:val="21A8267A"/>
    <w:rsid w:val="221E5E6C"/>
    <w:rsid w:val="2257B918"/>
    <w:rsid w:val="22E98EE0"/>
    <w:rsid w:val="22EC275B"/>
    <w:rsid w:val="232F2846"/>
    <w:rsid w:val="233B1939"/>
    <w:rsid w:val="237EEF73"/>
    <w:rsid w:val="23BCC462"/>
    <w:rsid w:val="2447945B"/>
    <w:rsid w:val="249A2C68"/>
    <w:rsid w:val="249B2C69"/>
    <w:rsid w:val="24E8240C"/>
    <w:rsid w:val="2504357B"/>
    <w:rsid w:val="2514EF87"/>
    <w:rsid w:val="253ABC81"/>
    <w:rsid w:val="259F048D"/>
    <w:rsid w:val="25A8E3BE"/>
    <w:rsid w:val="25EA2678"/>
    <w:rsid w:val="2617C805"/>
    <w:rsid w:val="26D43430"/>
    <w:rsid w:val="2722F428"/>
    <w:rsid w:val="274A8095"/>
    <w:rsid w:val="274D2C0E"/>
    <w:rsid w:val="27D4EEDB"/>
    <w:rsid w:val="27F6748D"/>
    <w:rsid w:val="28D664E2"/>
    <w:rsid w:val="28DB7EFC"/>
    <w:rsid w:val="28E7A9C8"/>
    <w:rsid w:val="2908DED7"/>
    <w:rsid w:val="2950FDE0"/>
    <w:rsid w:val="29541FB9"/>
    <w:rsid w:val="29783A40"/>
    <w:rsid w:val="29997EB0"/>
    <w:rsid w:val="29B7DF76"/>
    <w:rsid w:val="2A4EFCDD"/>
    <w:rsid w:val="2AEADF95"/>
    <w:rsid w:val="2B1C5B4D"/>
    <w:rsid w:val="2B38A4D7"/>
    <w:rsid w:val="2B716270"/>
    <w:rsid w:val="2B80DDCA"/>
    <w:rsid w:val="2BAAE663"/>
    <w:rsid w:val="2BFFCD30"/>
    <w:rsid w:val="2C8738D4"/>
    <w:rsid w:val="2D02F680"/>
    <w:rsid w:val="2D0696C4"/>
    <w:rsid w:val="2D64755D"/>
    <w:rsid w:val="2D7B2314"/>
    <w:rsid w:val="2E33F97A"/>
    <w:rsid w:val="2E55F29A"/>
    <w:rsid w:val="2E5D78D1"/>
    <w:rsid w:val="2EE2145A"/>
    <w:rsid w:val="2FC9AC5B"/>
    <w:rsid w:val="303DD49F"/>
    <w:rsid w:val="304D1A3C"/>
    <w:rsid w:val="30C18D50"/>
    <w:rsid w:val="314B5926"/>
    <w:rsid w:val="3196EE12"/>
    <w:rsid w:val="31BBBD2D"/>
    <w:rsid w:val="31E42F2C"/>
    <w:rsid w:val="327E686E"/>
    <w:rsid w:val="329353E4"/>
    <w:rsid w:val="32E23AEC"/>
    <w:rsid w:val="32F72BC0"/>
    <w:rsid w:val="33485926"/>
    <w:rsid w:val="33BFF606"/>
    <w:rsid w:val="34362158"/>
    <w:rsid w:val="348574E2"/>
    <w:rsid w:val="34FA421A"/>
    <w:rsid w:val="35F9EBD1"/>
    <w:rsid w:val="35FAA912"/>
    <w:rsid w:val="3616A18B"/>
    <w:rsid w:val="372986A4"/>
    <w:rsid w:val="37D50E2C"/>
    <w:rsid w:val="3857DB91"/>
    <w:rsid w:val="38899B71"/>
    <w:rsid w:val="38AF7F4A"/>
    <w:rsid w:val="38E9A567"/>
    <w:rsid w:val="38EE0E65"/>
    <w:rsid w:val="39536778"/>
    <w:rsid w:val="3968C37D"/>
    <w:rsid w:val="39953D35"/>
    <w:rsid w:val="3995F3DF"/>
    <w:rsid w:val="39A118B7"/>
    <w:rsid w:val="39AA0ECB"/>
    <w:rsid w:val="39BD0D8C"/>
    <w:rsid w:val="39E38673"/>
    <w:rsid w:val="3A002775"/>
    <w:rsid w:val="3A881F8B"/>
    <w:rsid w:val="3ABD80DC"/>
    <w:rsid w:val="3AC340CA"/>
    <w:rsid w:val="3B285307"/>
    <w:rsid w:val="3B74E727"/>
    <w:rsid w:val="3B9262A3"/>
    <w:rsid w:val="3B9FA85D"/>
    <w:rsid w:val="3C77C786"/>
    <w:rsid w:val="3CBA817C"/>
    <w:rsid w:val="3D044D5B"/>
    <w:rsid w:val="3D46602A"/>
    <w:rsid w:val="3D515519"/>
    <w:rsid w:val="3E349927"/>
    <w:rsid w:val="3E7507BE"/>
    <w:rsid w:val="3E8DFD9E"/>
    <w:rsid w:val="3EA103F0"/>
    <w:rsid w:val="3F0A4956"/>
    <w:rsid w:val="3F1C0630"/>
    <w:rsid w:val="3F6662C2"/>
    <w:rsid w:val="404E312B"/>
    <w:rsid w:val="404EA984"/>
    <w:rsid w:val="4082BB5E"/>
    <w:rsid w:val="40ABE7D5"/>
    <w:rsid w:val="40B18CB3"/>
    <w:rsid w:val="411D5832"/>
    <w:rsid w:val="413D7F1E"/>
    <w:rsid w:val="41D64366"/>
    <w:rsid w:val="4220212D"/>
    <w:rsid w:val="425AC9BF"/>
    <w:rsid w:val="426A32FB"/>
    <w:rsid w:val="42B95337"/>
    <w:rsid w:val="42BA96F5"/>
    <w:rsid w:val="43563104"/>
    <w:rsid w:val="435B3B6E"/>
    <w:rsid w:val="43B20FA6"/>
    <w:rsid w:val="43C5D9C4"/>
    <w:rsid w:val="43F4E8DD"/>
    <w:rsid w:val="4432F278"/>
    <w:rsid w:val="444FD1E6"/>
    <w:rsid w:val="459F4B0D"/>
    <w:rsid w:val="45C40D8D"/>
    <w:rsid w:val="45D3747B"/>
    <w:rsid w:val="45E07F04"/>
    <w:rsid w:val="45E8419F"/>
    <w:rsid w:val="4627C1D0"/>
    <w:rsid w:val="463F72E1"/>
    <w:rsid w:val="4768CAED"/>
    <w:rsid w:val="478FC330"/>
    <w:rsid w:val="47C3E2B5"/>
    <w:rsid w:val="4897C850"/>
    <w:rsid w:val="48C6BD89"/>
    <w:rsid w:val="48C81091"/>
    <w:rsid w:val="490AF522"/>
    <w:rsid w:val="491E7888"/>
    <w:rsid w:val="493E7381"/>
    <w:rsid w:val="49F5FD82"/>
    <w:rsid w:val="49F84368"/>
    <w:rsid w:val="4AE76B95"/>
    <w:rsid w:val="4AEA26E3"/>
    <w:rsid w:val="4B95B7DB"/>
    <w:rsid w:val="4BF9EC54"/>
    <w:rsid w:val="4C4AAAB7"/>
    <w:rsid w:val="4D3DC728"/>
    <w:rsid w:val="4D405139"/>
    <w:rsid w:val="4DC8D573"/>
    <w:rsid w:val="4E3DBF3E"/>
    <w:rsid w:val="4E49E761"/>
    <w:rsid w:val="4FC96F51"/>
    <w:rsid w:val="4FFFB6CE"/>
    <w:rsid w:val="508069F6"/>
    <w:rsid w:val="50A8329E"/>
    <w:rsid w:val="514D7FEA"/>
    <w:rsid w:val="5171E82C"/>
    <w:rsid w:val="5254804F"/>
    <w:rsid w:val="534ECEF1"/>
    <w:rsid w:val="53C56180"/>
    <w:rsid w:val="53F771D0"/>
    <w:rsid w:val="53FA1727"/>
    <w:rsid w:val="5513F1E5"/>
    <w:rsid w:val="558D247E"/>
    <w:rsid w:val="55B6F71B"/>
    <w:rsid w:val="55C34397"/>
    <w:rsid w:val="55E43489"/>
    <w:rsid w:val="567FBC7D"/>
    <w:rsid w:val="57030188"/>
    <w:rsid w:val="571BDF1E"/>
    <w:rsid w:val="57417A75"/>
    <w:rsid w:val="57850877"/>
    <w:rsid w:val="57A19AE3"/>
    <w:rsid w:val="57AD4917"/>
    <w:rsid w:val="57EDCBA8"/>
    <w:rsid w:val="5825E6D2"/>
    <w:rsid w:val="58E7E72B"/>
    <w:rsid w:val="58FDA100"/>
    <w:rsid w:val="59061466"/>
    <w:rsid w:val="5963ED24"/>
    <w:rsid w:val="59C557D1"/>
    <w:rsid w:val="5A2699F4"/>
    <w:rsid w:val="5B0A244E"/>
    <w:rsid w:val="5B4B9A4A"/>
    <w:rsid w:val="5B568DAE"/>
    <w:rsid w:val="5B6A8CB7"/>
    <w:rsid w:val="5B98CC2F"/>
    <w:rsid w:val="5BD3025B"/>
    <w:rsid w:val="5BFEF6C7"/>
    <w:rsid w:val="5C4CF4E6"/>
    <w:rsid w:val="5D30A918"/>
    <w:rsid w:val="5D6F112F"/>
    <w:rsid w:val="5D7B4FA9"/>
    <w:rsid w:val="5DA73484"/>
    <w:rsid w:val="5DE7AEFF"/>
    <w:rsid w:val="5E13012E"/>
    <w:rsid w:val="5E252530"/>
    <w:rsid w:val="5EFB4747"/>
    <w:rsid w:val="5FF40B67"/>
    <w:rsid w:val="60493934"/>
    <w:rsid w:val="60506934"/>
    <w:rsid w:val="60CD9CEF"/>
    <w:rsid w:val="612C4E0C"/>
    <w:rsid w:val="613465F5"/>
    <w:rsid w:val="615604CC"/>
    <w:rsid w:val="616A5E38"/>
    <w:rsid w:val="6189569C"/>
    <w:rsid w:val="61BB8175"/>
    <w:rsid w:val="6224E490"/>
    <w:rsid w:val="6256C89D"/>
    <w:rsid w:val="62C4876B"/>
    <w:rsid w:val="62D8BA7D"/>
    <w:rsid w:val="6303D18A"/>
    <w:rsid w:val="63929679"/>
    <w:rsid w:val="63AA5F5E"/>
    <w:rsid w:val="649801B9"/>
    <w:rsid w:val="64E3D45C"/>
    <w:rsid w:val="65CBCBEC"/>
    <w:rsid w:val="661B2045"/>
    <w:rsid w:val="66336D97"/>
    <w:rsid w:val="66C88EA7"/>
    <w:rsid w:val="66F38C63"/>
    <w:rsid w:val="67C66AE5"/>
    <w:rsid w:val="67E23823"/>
    <w:rsid w:val="681BD1AE"/>
    <w:rsid w:val="6860943A"/>
    <w:rsid w:val="6869B2AA"/>
    <w:rsid w:val="688109AC"/>
    <w:rsid w:val="689F855B"/>
    <w:rsid w:val="6938E2D9"/>
    <w:rsid w:val="693CAFB7"/>
    <w:rsid w:val="69423F3C"/>
    <w:rsid w:val="69835BFC"/>
    <w:rsid w:val="69CF4246"/>
    <w:rsid w:val="69E92427"/>
    <w:rsid w:val="6A7FF184"/>
    <w:rsid w:val="6AD71AA0"/>
    <w:rsid w:val="6B8FE7B3"/>
    <w:rsid w:val="6B9DAD21"/>
    <w:rsid w:val="6D115D3F"/>
    <w:rsid w:val="6DD0DF8C"/>
    <w:rsid w:val="6DE2F114"/>
    <w:rsid w:val="6E79F526"/>
    <w:rsid w:val="6F98C260"/>
    <w:rsid w:val="70754A05"/>
    <w:rsid w:val="71364F68"/>
    <w:rsid w:val="72590FF3"/>
    <w:rsid w:val="726C9D55"/>
    <w:rsid w:val="72CA5768"/>
    <w:rsid w:val="743BC6A4"/>
    <w:rsid w:val="7443BA0D"/>
    <w:rsid w:val="74A9A0D5"/>
    <w:rsid w:val="74ACD7CD"/>
    <w:rsid w:val="74F0214B"/>
    <w:rsid w:val="7516ED01"/>
    <w:rsid w:val="7553254E"/>
    <w:rsid w:val="755CD307"/>
    <w:rsid w:val="758CFB47"/>
    <w:rsid w:val="759C7260"/>
    <w:rsid w:val="759F8B12"/>
    <w:rsid w:val="75A22603"/>
    <w:rsid w:val="75A2B840"/>
    <w:rsid w:val="75A44112"/>
    <w:rsid w:val="760F74E1"/>
    <w:rsid w:val="76233D7F"/>
    <w:rsid w:val="7637F5E9"/>
    <w:rsid w:val="763D45C2"/>
    <w:rsid w:val="76A47318"/>
    <w:rsid w:val="76DEBFE4"/>
    <w:rsid w:val="76E5FF72"/>
    <w:rsid w:val="7786B472"/>
    <w:rsid w:val="77B382A5"/>
    <w:rsid w:val="77FFCD5D"/>
    <w:rsid w:val="78615699"/>
    <w:rsid w:val="791D02A8"/>
    <w:rsid w:val="7976DC95"/>
    <w:rsid w:val="79AED01C"/>
    <w:rsid w:val="79C843DC"/>
    <w:rsid w:val="79D49354"/>
    <w:rsid w:val="7A2C997D"/>
    <w:rsid w:val="7A304C38"/>
    <w:rsid w:val="7A91111C"/>
    <w:rsid w:val="7A98333F"/>
    <w:rsid w:val="7AC57EDD"/>
    <w:rsid w:val="7B470351"/>
    <w:rsid w:val="7BB1DE79"/>
    <w:rsid w:val="7BEA2BAC"/>
    <w:rsid w:val="7BFFA606"/>
    <w:rsid w:val="7C154223"/>
    <w:rsid w:val="7C1AF05E"/>
    <w:rsid w:val="7C6FF11D"/>
    <w:rsid w:val="7C8E22E7"/>
    <w:rsid w:val="7CE76125"/>
    <w:rsid w:val="7CEDB003"/>
    <w:rsid w:val="7D54A542"/>
    <w:rsid w:val="7DA5237C"/>
    <w:rsid w:val="7DDA4BA1"/>
    <w:rsid w:val="7DF7B316"/>
    <w:rsid w:val="7FF1DD7B"/>
    <w:rsid w:val="7FFB5B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15:docId w15:val="{C0F4262A-FB49-4FBD-BD90-4F700DEA1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C51"/>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qFormat/>
    <w:rsid w:val="006B087E"/>
    <w:pPr>
      <w:keepNext/>
      <w:numPr>
        <w:numId w:val="3"/>
      </w:numPr>
      <w:spacing w:before="240"/>
      <w:outlineLvl w:val="0"/>
    </w:pPr>
    <w:rPr>
      <w:rFonts w:eastAsia="Times New Roman"/>
      <w:b/>
      <w:smallCaps/>
      <w:szCs w:val="20"/>
    </w:rPr>
  </w:style>
  <w:style w:type="paragraph" w:styleId="Heading2">
    <w:name w:val="heading 2"/>
    <w:basedOn w:val="Normal"/>
    <w:next w:val="Text2"/>
    <w:link w:val="Heading2Char"/>
    <w:qFormat/>
    <w:rsid w:val="006B087E"/>
    <w:pPr>
      <w:keepNext/>
      <w:numPr>
        <w:ilvl w:val="1"/>
        <w:numId w:val="3"/>
      </w:numPr>
      <w:outlineLvl w:val="1"/>
    </w:pPr>
    <w:rPr>
      <w:rFonts w:eastAsia="Times New Roman"/>
      <w:b/>
      <w:szCs w:val="20"/>
    </w:rPr>
  </w:style>
  <w:style w:type="paragraph" w:styleId="Heading3">
    <w:name w:val="heading 3"/>
    <w:basedOn w:val="Normal"/>
    <w:next w:val="Normal"/>
    <w:link w:val="Heading3Char"/>
    <w:qFormat/>
    <w:rsid w:val="006B087E"/>
    <w:pPr>
      <w:keepNext/>
      <w:numPr>
        <w:ilvl w:val="2"/>
        <w:numId w:val="3"/>
      </w:numPr>
      <w:outlineLvl w:val="2"/>
    </w:pPr>
    <w:rPr>
      <w:rFonts w:eastAsia="Times New Roman"/>
      <w:i/>
      <w:szCs w:val="20"/>
    </w:rPr>
  </w:style>
  <w:style w:type="paragraph" w:styleId="Heading4">
    <w:name w:val="heading 4"/>
    <w:basedOn w:val="Normal"/>
    <w:next w:val="Normal"/>
    <w:link w:val="Heading4Char"/>
    <w:qFormat/>
    <w:rsid w:val="006B087E"/>
    <w:pPr>
      <w:keepNext/>
      <w:numPr>
        <w:ilvl w:val="3"/>
        <w:numId w:val="3"/>
      </w:numPr>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87E"/>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6B087E"/>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6B087E"/>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numPr>
        <w:numId w:val="1"/>
      </w:numPr>
    </w:pPr>
    <w:rPr>
      <w:rFonts w:eastAsia="Times New Roman"/>
      <w:szCs w:val="20"/>
    </w:rPr>
  </w:style>
  <w:style w:type="paragraph" w:customStyle="1" w:styleId="ListDash1">
    <w:name w:val="List Dash 1"/>
    <w:basedOn w:val="Text1"/>
    <w:rsid w:val="006B087E"/>
    <w:pPr>
      <w:numPr>
        <w:numId w:val="2"/>
      </w:numPr>
    </w:pPr>
  </w:style>
  <w:style w:type="table" w:styleId="TableGrid">
    <w:name w:val="Table Grid"/>
    <w:aliases w:val="Document Table,CV1,Table 1,Test,TabelEcorys,Gena,Deloitte,HTG,Tabellengitternetz,Table Grid IDEA"/>
    <w:basedOn w:val="TableNormal"/>
    <w:uiPriority w:val="39"/>
    <w:qFormat/>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C22AB4"/>
    <w:pPr>
      <w:numPr>
        <w:numId w:val="0"/>
      </w:numPr>
      <w:spacing w:after="48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basedOn w:val="DefaultParagraphFont"/>
    <w:uiPriority w:val="99"/>
    <w:semiHidden/>
    <w:unhideWhenUsed/>
    <w:rsid w:val="002252CF"/>
    <w:rPr>
      <w:sz w:val="16"/>
      <w:szCs w:val="16"/>
    </w:rPr>
  </w:style>
  <w:style w:type="paragraph" w:styleId="CommentText">
    <w:name w:val="annotation text"/>
    <w:basedOn w:val="Normal"/>
    <w:link w:val="CommentTextChar"/>
    <w:uiPriority w:val="99"/>
    <w:unhideWhenUsed/>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F23FF"/>
    <w:pPr>
      <w:spacing w:before="100" w:beforeAutospacing="1" w:after="100" w:afterAutospacing="1"/>
      <w:jc w:val="left"/>
    </w:pPr>
    <w:rPr>
      <w:rFonts w:eastAsia="Times New Roman"/>
      <w:lang w:val="en-IE" w:eastAsia="en-IE"/>
    </w:rPr>
  </w:style>
  <w:style w:type="character" w:customStyle="1" w:styleId="normaltextrun">
    <w:name w:val="normaltextrun"/>
    <w:basedOn w:val="DefaultParagraphFont"/>
    <w:rsid w:val="008F23FF"/>
  </w:style>
  <w:style w:type="character" w:customStyle="1" w:styleId="eop">
    <w:name w:val="eop"/>
    <w:basedOn w:val="DefaultParagraphFont"/>
    <w:rsid w:val="008F23FF"/>
  </w:style>
  <w:style w:type="character" w:customStyle="1" w:styleId="scxw197964545">
    <w:name w:val="scxw197964545"/>
    <w:basedOn w:val="DefaultParagraphFont"/>
    <w:rsid w:val="008F23FF"/>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Footnote symbol Car Zchn Zchn"/>
    <w:basedOn w:val="Normal"/>
    <w:uiPriority w:val="99"/>
    <w:rsid w:val="00701A7E"/>
    <w:pPr>
      <w:spacing w:after="160" w:line="240" w:lineRule="exact"/>
      <w:jc w:val="left"/>
    </w:pPr>
    <w:rPr>
      <w:rFonts w:asciiTheme="minorHAnsi" w:hAnsiTheme="minorHAnsi" w:cstheme="minorBidi"/>
      <w:kern w:val="2"/>
      <w:sz w:val="22"/>
      <w:szCs w:val="22"/>
      <w:vertAlign w:val="superscript"/>
    </w:rPr>
  </w:style>
  <w:style w:type="paragraph" w:styleId="NormalWeb">
    <w:name w:val="Normal (Web)"/>
    <w:basedOn w:val="Normal"/>
    <w:uiPriority w:val="99"/>
    <w:unhideWhenUsed/>
    <w:rsid w:val="00701A7E"/>
    <w:pPr>
      <w:spacing w:before="100" w:beforeAutospacing="1" w:after="100" w:afterAutospacing="1"/>
      <w:jc w:val="left"/>
    </w:pPr>
    <w:rPr>
      <w:rFonts w:eastAsia="Times New Roman"/>
      <w:lang w:val="en-IE" w:eastAsia="en-IE"/>
    </w:rPr>
  </w:style>
  <w:style w:type="paragraph" w:customStyle="1" w:styleId="B0Text">
    <w:name w:val="B0 Text"/>
    <w:basedOn w:val="Normal"/>
    <w:link w:val="B0TextChar"/>
    <w:qFormat/>
    <w:rsid w:val="00701A7E"/>
    <w:pPr>
      <w:widowControl w:val="0"/>
      <w:spacing w:after="120"/>
    </w:pPr>
    <w:rPr>
      <w:rFonts w:eastAsia="Calibri" w:cs="Tahoma"/>
      <w:szCs w:val="20"/>
    </w:rPr>
  </w:style>
  <w:style w:type="character" w:customStyle="1" w:styleId="B0TextChar">
    <w:name w:val="B0 Text Char"/>
    <w:link w:val="B0Text"/>
    <w:qFormat/>
    <w:rsid w:val="00701A7E"/>
    <w:rPr>
      <w:rFonts w:ascii="Times New Roman" w:eastAsia="Calibri" w:hAnsi="Times New Roman" w:cs="Tahoma"/>
      <w:sz w:val="24"/>
      <w:szCs w:val="20"/>
    </w:rPr>
  </w:style>
  <w:style w:type="character" w:styleId="Strong">
    <w:name w:val="Strong"/>
    <w:basedOn w:val="DefaultParagraphFont"/>
    <w:uiPriority w:val="22"/>
    <w:qFormat/>
    <w:rsid w:val="000E4B0B"/>
    <w:rPr>
      <w:b/>
      <w:bCs/>
    </w:rPr>
  </w:style>
  <w:style w:type="character" w:customStyle="1" w:styleId="Mention">
    <w:name w:val="Mention"/>
    <w:basedOn w:val="DefaultParagraphFont"/>
    <w:uiPriority w:val="99"/>
    <w:unhideWhenUsed/>
    <w:rsid w:val="0014405E"/>
    <w:rPr>
      <w:color w:val="2B579A"/>
      <w:shd w:val="clear" w:color="auto" w:fill="E1DFDD"/>
    </w:rPr>
  </w:style>
  <w:style w:type="numbering" w:customStyle="1" w:styleId="ImportedStyle3">
    <w:name w:val="Imported Style 3"/>
    <w:rsid w:val="00B87DBD"/>
  </w:style>
  <w:style w:type="paragraph" w:customStyle="1" w:styleId="NormalHanging12a">
    <w:name w:val="NormalHanging12a"/>
    <w:basedOn w:val="Normal"/>
    <w:link w:val="NormalHanging12aChar"/>
    <w:rsid w:val="00B87DBD"/>
    <w:pPr>
      <w:widowControl w:val="0"/>
      <w:ind w:left="567" w:hanging="567"/>
      <w:jc w:val="left"/>
    </w:pPr>
    <w:rPr>
      <w:rFonts w:eastAsia="Times New Roman"/>
      <w:szCs w:val="20"/>
      <w:lang w:val="en-US"/>
    </w:rPr>
  </w:style>
  <w:style w:type="character" w:customStyle="1" w:styleId="NormalHanging12aChar">
    <w:name w:val="NormalHanging12a Char"/>
    <w:link w:val="NormalHanging12a"/>
    <w:locked/>
    <w:rsid w:val="00B87DBD"/>
    <w:rPr>
      <w:rFonts w:ascii="Times New Roman" w:eastAsia="Times New Roman" w:hAnsi="Times New Roman" w:cs="Times New Roman"/>
      <w:sz w:val="24"/>
      <w:szCs w:val="20"/>
      <w:lang w:val="en-US"/>
    </w:rPr>
  </w:style>
  <w:style w:type="paragraph" w:styleId="Quote">
    <w:name w:val="Quote"/>
    <w:basedOn w:val="Normal"/>
    <w:next w:val="Normal"/>
    <w:link w:val="QuoteChar"/>
    <w:uiPriority w:val="29"/>
    <w:qFormat/>
    <w:rsid w:val="00E53C79"/>
    <w:pPr>
      <w:spacing w:before="160" w:after="160" w:line="259" w:lineRule="auto"/>
      <w:jc w:val="center"/>
    </w:pPr>
    <w:rPr>
      <w:rFonts w:asciiTheme="minorHAnsi" w:hAnsiTheme="minorHAnsi" w:cstheme="minorBidi"/>
      <w:i/>
      <w:iCs/>
      <w:color w:val="404040" w:themeColor="text1" w:themeTint="BF"/>
      <w:kern w:val="2"/>
      <w:sz w:val="22"/>
      <w:szCs w:val="22"/>
    </w:rPr>
  </w:style>
  <w:style w:type="character" w:customStyle="1" w:styleId="QuoteChar">
    <w:name w:val="Quote Char"/>
    <w:basedOn w:val="DefaultParagraphFont"/>
    <w:link w:val="Quote"/>
    <w:uiPriority w:val="29"/>
    <w:rsid w:val="00E53C79"/>
    <w:rPr>
      <w:i/>
      <w:iCs/>
      <w:color w:val="404040" w:themeColor="text1" w:themeTint="BF"/>
      <w:kern w:val="2"/>
    </w:rPr>
  </w:style>
  <w:style w:type="paragraph" w:customStyle="1" w:styleId="Languesfaisantfoi">
    <w:name w:val="Langues faisant foi"/>
    <w:basedOn w:val="Normal"/>
    <w:next w:val="Normal"/>
    <w:rsid w:val="00543A91"/>
    <w:pPr>
      <w:spacing w:before="360"/>
      <w:jc w:val="center"/>
    </w:pPr>
    <w:rPr>
      <w:szCs w:val="22"/>
    </w:rPr>
  </w:style>
  <w:style w:type="paragraph" w:customStyle="1" w:styleId="LanguesfaisantfoiPagedecouverture">
    <w:name w:val="Langues faisant foi (Page de couverture)"/>
    <w:basedOn w:val="Normal"/>
    <w:next w:val="Normal"/>
    <w:rsid w:val="00543A91"/>
    <w:pPr>
      <w:spacing w:before="360"/>
      <w:jc w:val="center"/>
    </w:pPr>
    <w:rPr>
      <w:szCs w:val="22"/>
    </w:rPr>
  </w:style>
  <w:style w:type="paragraph" w:customStyle="1" w:styleId="IntrtEEE">
    <w:name w:val="Intérêt EEE"/>
    <w:basedOn w:val="Languesfaisantfoi"/>
    <w:next w:val="Normal"/>
    <w:rsid w:val="00543A91"/>
    <w:pPr>
      <w:spacing w:after="0"/>
    </w:pPr>
  </w:style>
  <w:style w:type="paragraph" w:customStyle="1" w:styleId="IntrtEEEPagedecouverture">
    <w:name w:val="Intérêt EEE (Page de couverture)"/>
    <w:basedOn w:val="IntrtEEE"/>
    <w:next w:val="Normal"/>
    <w:rsid w:val="00543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4968">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104930455">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28790354">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350303215">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20030642">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563415471">
      <w:bodyDiv w:val="1"/>
      <w:marLeft w:val="0"/>
      <w:marRight w:val="0"/>
      <w:marTop w:val="0"/>
      <w:marBottom w:val="0"/>
      <w:divBdr>
        <w:top w:val="none" w:sz="0" w:space="0" w:color="auto"/>
        <w:left w:val="none" w:sz="0" w:space="0" w:color="auto"/>
        <w:bottom w:val="none" w:sz="0" w:space="0" w:color="auto"/>
        <w:right w:val="none" w:sz="0" w:space="0" w:color="auto"/>
      </w:divBdr>
    </w:div>
    <w:div w:id="568853422">
      <w:bodyDiv w:val="1"/>
      <w:marLeft w:val="0"/>
      <w:marRight w:val="0"/>
      <w:marTop w:val="0"/>
      <w:marBottom w:val="0"/>
      <w:divBdr>
        <w:top w:val="none" w:sz="0" w:space="0" w:color="auto"/>
        <w:left w:val="none" w:sz="0" w:space="0" w:color="auto"/>
        <w:bottom w:val="none" w:sz="0" w:space="0" w:color="auto"/>
        <w:right w:val="none" w:sz="0" w:space="0" w:color="auto"/>
      </w:divBdr>
    </w:div>
    <w:div w:id="614950489">
      <w:bodyDiv w:val="1"/>
      <w:marLeft w:val="0"/>
      <w:marRight w:val="0"/>
      <w:marTop w:val="0"/>
      <w:marBottom w:val="0"/>
      <w:divBdr>
        <w:top w:val="none" w:sz="0" w:space="0" w:color="auto"/>
        <w:left w:val="none" w:sz="0" w:space="0" w:color="auto"/>
        <w:bottom w:val="none" w:sz="0" w:space="0" w:color="auto"/>
        <w:right w:val="none" w:sz="0" w:space="0" w:color="auto"/>
      </w:divBdr>
    </w:div>
    <w:div w:id="712849929">
      <w:bodyDiv w:val="1"/>
      <w:marLeft w:val="0"/>
      <w:marRight w:val="0"/>
      <w:marTop w:val="0"/>
      <w:marBottom w:val="0"/>
      <w:divBdr>
        <w:top w:val="none" w:sz="0" w:space="0" w:color="auto"/>
        <w:left w:val="none" w:sz="0" w:space="0" w:color="auto"/>
        <w:bottom w:val="none" w:sz="0" w:space="0" w:color="auto"/>
        <w:right w:val="none" w:sz="0" w:space="0" w:color="auto"/>
      </w:divBdr>
    </w:div>
    <w:div w:id="712998366">
      <w:bodyDiv w:val="1"/>
      <w:marLeft w:val="0"/>
      <w:marRight w:val="0"/>
      <w:marTop w:val="0"/>
      <w:marBottom w:val="0"/>
      <w:divBdr>
        <w:top w:val="none" w:sz="0" w:space="0" w:color="auto"/>
        <w:left w:val="none" w:sz="0" w:space="0" w:color="auto"/>
        <w:bottom w:val="none" w:sz="0" w:space="0" w:color="auto"/>
        <w:right w:val="none" w:sz="0" w:space="0" w:color="auto"/>
      </w:divBdr>
      <w:divsChild>
        <w:div w:id="1825701956">
          <w:marLeft w:val="0"/>
          <w:marRight w:val="0"/>
          <w:marTop w:val="0"/>
          <w:marBottom w:val="0"/>
          <w:divBdr>
            <w:top w:val="none" w:sz="0" w:space="0" w:color="auto"/>
            <w:left w:val="none" w:sz="0" w:space="0" w:color="auto"/>
            <w:bottom w:val="none" w:sz="0" w:space="0" w:color="auto"/>
            <w:right w:val="none" w:sz="0" w:space="0" w:color="auto"/>
          </w:divBdr>
          <w:divsChild>
            <w:div w:id="1862013986">
              <w:marLeft w:val="0"/>
              <w:marRight w:val="0"/>
              <w:marTop w:val="0"/>
              <w:marBottom w:val="0"/>
              <w:divBdr>
                <w:top w:val="none" w:sz="0" w:space="0" w:color="auto"/>
                <w:left w:val="none" w:sz="0" w:space="0" w:color="auto"/>
                <w:bottom w:val="none" w:sz="0" w:space="0" w:color="auto"/>
                <w:right w:val="none" w:sz="0" w:space="0" w:color="auto"/>
              </w:divBdr>
              <w:divsChild>
                <w:div w:id="1284458804">
                  <w:marLeft w:val="0"/>
                  <w:marRight w:val="0"/>
                  <w:marTop w:val="0"/>
                  <w:marBottom w:val="0"/>
                  <w:divBdr>
                    <w:top w:val="none" w:sz="0" w:space="0" w:color="auto"/>
                    <w:left w:val="none" w:sz="0" w:space="0" w:color="auto"/>
                    <w:bottom w:val="none" w:sz="0" w:space="0" w:color="auto"/>
                    <w:right w:val="none" w:sz="0" w:space="0" w:color="auto"/>
                  </w:divBdr>
                  <w:divsChild>
                    <w:div w:id="23941608">
                      <w:marLeft w:val="0"/>
                      <w:marRight w:val="0"/>
                      <w:marTop w:val="0"/>
                      <w:marBottom w:val="0"/>
                      <w:divBdr>
                        <w:top w:val="none" w:sz="0" w:space="0" w:color="auto"/>
                        <w:left w:val="none" w:sz="0" w:space="0" w:color="auto"/>
                        <w:bottom w:val="none" w:sz="0" w:space="0" w:color="auto"/>
                        <w:right w:val="none" w:sz="0" w:space="0" w:color="auto"/>
                      </w:divBdr>
                      <w:divsChild>
                        <w:div w:id="1107387566">
                          <w:marLeft w:val="0"/>
                          <w:marRight w:val="0"/>
                          <w:marTop w:val="0"/>
                          <w:marBottom w:val="0"/>
                          <w:divBdr>
                            <w:top w:val="none" w:sz="0" w:space="0" w:color="auto"/>
                            <w:left w:val="none" w:sz="0" w:space="0" w:color="auto"/>
                            <w:bottom w:val="none" w:sz="0" w:space="0" w:color="auto"/>
                            <w:right w:val="none" w:sz="0" w:space="0" w:color="auto"/>
                          </w:divBdr>
                        </w:div>
                      </w:divsChild>
                    </w:div>
                    <w:div w:id="142819674">
                      <w:marLeft w:val="0"/>
                      <w:marRight w:val="0"/>
                      <w:marTop w:val="0"/>
                      <w:marBottom w:val="0"/>
                      <w:divBdr>
                        <w:top w:val="none" w:sz="0" w:space="0" w:color="auto"/>
                        <w:left w:val="none" w:sz="0" w:space="0" w:color="auto"/>
                        <w:bottom w:val="none" w:sz="0" w:space="0" w:color="auto"/>
                        <w:right w:val="none" w:sz="0" w:space="0" w:color="auto"/>
                      </w:divBdr>
                      <w:divsChild>
                        <w:div w:id="1221209922">
                          <w:marLeft w:val="0"/>
                          <w:marRight w:val="0"/>
                          <w:marTop w:val="0"/>
                          <w:marBottom w:val="0"/>
                          <w:divBdr>
                            <w:top w:val="none" w:sz="0" w:space="0" w:color="auto"/>
                            <w:left w:val="none" w:sz="0" w:space="0" w:color="auto"/>
                            <w:bottom w:val="none" w:sz="0" w:space="0" w:color="auto"/>
                            <w:right w:val="none" w:sz="0" w:space="0" w:color="auto"/>
                          </w:divBdr>
                        </w:div>
                      </w:divsChild>
                    </w:div>
                    <w:div w:id="227620874">
                      <w:marLeft w:val="0"/>
                      <w:marRight w:val="0"/>
                      <w:marTop w:val="0"/>
                      <w:marBottom w:val="0"/>
                      <w:divBdr>
                        <w:top w:val="none" w:sz="0" w:space="0" w:color="auto"/>
                        <w:left w:val="none" w:sz="0" w:space="0" w:color="auto"/>
                        <w:bottom w:val="none" w:sz="0" w:space="0" w:color="auto"/>
                        <w:right w:val="none" w:sz="0" w:space="0" w:color="auto"/>
                      </w:divBdr>
                      <w:divsChild>
                        <w:div w:id="70739582">
                          <w:marLeft w:val="0"/>
                          <w:marRight w:val="0"/>
                          <w:marTop w:val="0"/>
                          <w:marBottom w:val="0"/>
                          <w:divBdr>
                            <w:top w:val="none" w:sz="0" w:space="0" w:color="auto"/>
                            <w:left w:val="none" w:sz="0" w:space="0" w:color="auto"/>
                            <w:bottom w:val="none" w:sz="0" w:space="0" w:color="auto"/>
                            <w:right w:val="none" w:sz="0" w:space="0" w:color="auto"/>
                          </w:divBdr>
                        </w:div>
                      </w:divsChild>
                    </w:div>
                    <w:div w:id="295256301">
                      <w:marLeft w:val="0"/>
                      <w:marRight w:val="0"/>
                      <w:marTop w:val="0"/>
                      <w:marBottom w:val="0"/>
                      <w:divBdr>
                        <w:top w:val="none" w:sz="0" w:space="0" w:color="auto"/>
                        <w:left w:val="none" w:sz="0" w:space="0" w:color="auto"/>
                        <w:bottom w:val="none" w:sz="0" w:space="0" w:color="auto"/>
                        <w:right w:val="none" w:sz="0" w:space="0" w:color="auto"/>
                      </w:divBdr>
                      <w:divsChild>
                        <w:div w:id="76831167">
                          <w:marLeft w:val="0"/>
                          <w:marRight w:val="0"/>
                          <w:marTop w:val="0"/>
                          <w:marBottom w:val="0"/>
                          <w:divBdr>
                            <w:top w:val="none" w:sz="0" w:space="0" w:color="auto"/>
                            <w:left w:val="none" w:sz="0" w:space="0" w:color="auto"/>
                            <w:bottom w:val="none" w:sz="0" w:space="0" w:color="auto"/>
                            <w:right w:val="none" w:sz="0" w:space="0" w:color="auto"/>
                          </w:divBdr>
                        </w:div>
                      </w:divsChild>
                    </w:div>
                    <w:div w:id="301157889">
                      <w:marLeft w:val="0"/>
                      <w:marRight w:val="0"/>
                      <w:marTop w:val="0"/>
                      <w:marBottom w:val="0"/>
                      <w:divBdr>
                        <w:top w:val="none" w:sz="0" w:space="0" w:color="auto"/>
                        <w:left w:val="none" w:sz="0" w:space="0" w:color="auto"/>
                        <w:bottom w:val="none" w:sz="0" w:space="0" w:color="auto"/>
                        <w:right w:val="none" w:sz="0" w:space="0" w:color="auto"/>
                      </w:divBdr>
                      <w:divsChild>
                        <w:div w:id="2115902436">
                          <w:marLeft w:val="0"/>
                          <w:marRight w:val="0"/>
                          <w:marTop w:val="0"/>
                          <w:marBottom w:val="0"/>
                          <w:divBdr>
                            <w:top w:val="none" w:sz="0" w:space="0" w:color="auto"/>
                            <w:left w:val="none" w:sz="0" w:space="0" w:color="auto"/>
                            <w:bottom w:val="none" w:sz="0" w:space="0" w:color="auto"/>
                            <w:right w:val="none" w:sz="0" w:space="0" w:color="auto"/>
                          </w:divBdr>
                        </w:div>
                        <w:div w:id="2117359328">
                          <w:marLeft w:val="0"/>
                          <w:marRight w:val="0"/>
                          <w:marTop w:val="0"/>
                          <w:marBottom w:val="0"/>
                          <w:divBdr>
                            <w:top w:val="none" w:sz="0" w:space="0" w:color="auto"/>
                            <w:left w:val="none" w:sz="0" w:space="0" w:color="auto"/>
                            <w:bottom w:val="none" w:sz="0" w:space="0" w:color="auto"/>
                            <w:right w:val="none" w:sz="0" w:space="0" w:color="auto"/>
                          </w:divBdr>
                        </w:div>
                      </w:divsChild>
                    </w:div>
                    <w:div w:id="385228629">
                      <w:marLeft w:val="0"/>
                      <w:marRight w:val="0"/>
                      <w:marTop w:val="0"/>
                      <w:marBottom w:val="0"/>
                      <w:divBdr>
                        <w:top w:val="none" w:sz="0" w:space="0" w:color="auto"/>
                        <w:left w:val="none" w:sz="0" w:space="0" w:color="auto"/>
                        <w:bottom w:val="none" w:sz="0" w:space="0" w:color="auto"/>
                        <w:right w:val="none" w:sz="0" w:space="0" w:color="auto"/>
                      </w:divBdr>
                      <w:divsChild>
                        <w:div w:id="19934662">
                          <w:marLeft w:val="0"/>
                          <w:marRight w:val="0"/>
                          <w:marTop w:val="0"/>
                          <w:marBottom w:val="0"/>
                          <w:divBdr>
                            <w:top w:val="none" w:sz="0" w:space="0" w:color="auto"/>
                            <w:left w:val="none" w:sz="0" w:space="0" w:color="auto"/>
                            <w:bottom w:val="none" w:sz="0" w:space="0" w:color="auto"/>
                            <w:right w:val="none" w:sz="0" w:space="0" w:color="auto"/>
                          </w:divBdr>
                        </w:div>
                        <w:div w:id="333841078">
                          <w:marLeft w:val="0"/>
                          <w:marRight w:val="0"/>
                          <w:marTop w:val="0"/>
                          <w:marBottom w:val="0"/>
                          <w:divBdr>
                            <w:top w:val="none" w:sz="0" w:space="0" w:color="auto"/>
                            <w:left w:val="none" w:sz="0" w:space="0" w:color="auto"/>
                            <w:bottom w:val="none" w:sz="0" w:space="0" w:color="auto"/>
                            <w:right w:val="none" w:sz="0" w:space="0" w:color="auto"/>
                          </w:divBdr>
                        </w:div>
                      </w:divsChild>
                    </w:div>
                    <w:div w:id="505944929">
                      <w:marLeft w:val="0"/>
                      <w:marRight w:val="0"/>
                      <w:marTop w:val="0"/>
                      <w:marBottom w:val="0"/>
                      <w:divBdr>
                        <w:top w:val="none" w:sz="0" w:space="0" w:color="auto"/>
                        <w:left w:val="none" w:sz="0" w:space="0" w:color="auto"/>
                        <w:bottom w:val="none" w:sz="0" w:space="0" w:color="auto"/>
                        <w:right w:val="none" w:sz="0" w:space="0" w:color="auto"/>
                      </w:divBdr>
                      <w:divsChild>
                        <w:div w:id="7686336">
                          <w:marLeft w:val="0"/>
                          <w:marRight w:val="0"/>
                          <w:marTop w:val="0"/>
                          <w:marBottom w:val="0"/>
                          <w:divBdr>
                            <w:top w:val="none" w:sz="0" w:space="0" w:color="auto"/>
                            <w:left w:val="none" w:sz="0" w:space="0" w:color="auto"/>
                            <w:bottom w:val="none" w:sz="0" w:space="0" w:color="auto"/>
                            <w:right w:val="none" w:sz="0" w:space="0" w:color="auto"/>
                          </w:divBdr>
                        </w:div>
                      </w:divsChild>
                    </w:div>
                    <w:div w:id="514345506">
                      <w:marLeft w:val="0"/>
                      <w:marRight w:val="0"/>
                      <w:marTop w:val="0"/>
                      <w:marBottom w:val="0"/>
                      <w:divBdr>
                        <w:top w:val="none" w:sz="0" w:space="0" w:color="auto"/>
                        <w:left w:val="none" w:sz="0" w:space="0" w:color="auto"/>
                        <w:bottom w:val="none" w:sz="0" w:space="0" w:color="auto"/>
                        <w:right w:val="none" w:sz="0" w:space="0" w:color="auto"/>
                      </w:divBdr>
                      <w:divsChild>
                        <w:div w:id="1944260086">
                          <w:marLeft w:val="0"/>
                          <w:marRight w:val="0"/>
                          <w:marTop w:val="0"/>
                          <w:marBottom w:val="0"/>
                          <w:divBdr>
                            <w:top w:val="none" w:sz="0" w:space="0" w:color="auto"/>
                            <w:left w:val="none" w:sz="0" w:space="0" w:color="auto"/>
                            <w:bottom w:val="none" w:sz="0" w:space="0" w:color="auto"/>
                            <w:right w:val="none" w:sz="0" w:space="0" w:color="auto"/>
                          </w:divBdr>
                        </w:div>
                      </w:divsChild>
                    </w:div>
                    <w:div w:id="541596987">
                      <w:marLeft w:val="0"/>
                      <w:marRight w:val="0"/>
                      <w:marTop w:val="0"/>
                      <w:marBottom w:val="0"/>
                      <w:divBdr>
                        <w:top w:val="none" w:sz="0" w:space="0" w:color="auto"/>
                        <w:left w:val="none" w:sz="0" w:space="0" w:color="auto"/>
                        <w:bottom w:val="none" w:sz="0" w:space="0" w:color="auto"/>
                        <w:right w:val="none" w:sz="0" w:space="0" w:color="auto"/>
                      </w:divBdr>
                      <w:divsChild>
                        <w:div w:id="93281499">
                          <w:marLeft w:val="0"/>
                          <w:marRight w:val="0"/>
                          <w:marTop w:val="0"/>
                          <w:marBottom w:val="0"/>
                          <w:divBdr>
                            <w:top w:val="none" w:sz="0" w:space="0" w:color="auto"/>
                            <w:left w:val="none" w:sz="0" w:space="0" w:color="auto"/>
                            <w:bottom w:val="none" w:sz="0" w:space="0" w:color="auto"/>
                            <w:right w:val="none" w:sz="0" w:space="0" w:color="auto"/>
                          </w:divBdr>
                        </w:div>
                        <w:div w:id="218322104">
                          <w:marLeft w:val="0"/>
                          <w:marRight w:val="0"/>
                          <w:marTop w:val="0"/>
                          <w:marBottom w:val="0"/>
                          <w:divBdr>
                            <w:top w:val="none" w:sz="0" w:space="0" w:color="auto"/>
                            <w:left w:val="none" w:sz="0" w:space="0" w:color="auto"/>
                            <w:bottom w:val="none" w:sz="0" w:space="0" w:color="auto"/>
                            <w:right w:val="none" w:sz="0" w:space="0" w:color="auto"/>
                          </w:divBdr>
                        </w:div>
                        <w:div w:id="288974101">
                          <w:marLeft w:val="0"/>
                          <w:marRight w:val="0"/>
                          <w:marTop w:val="0"/>
                          <w:marBottom w:val="0"/>
                          <w:divBdr>
                            <w:top w:val="none" w:sz="0" w:space="0" w:color="auto"/>
                            <w:left w:val="none" w:sz="0" w:space="0" w:color="auto"/>
                            <w:bottom w:val="none" w:sz="0" w:space="0" w:color="auto"/>
                            <w:right w:val="none" w:sz="0" w:space="0" w:color="auto"/>
                          </w:divBdr>
                        </w:div>
                        <w:div w:id="453521646">
                          <w:marLeft w:val="0"/>
                          <w:marRight w:val="0"/>
                          <w:marTop w:val="0"/>
                          <w:marBottom w:val="0"/>
                          <w:divBdr>
                            <w:top w:val="none" w:sz="0" w:space="0" w:color="auto"/>
                            <w:left w:val="none" w:sz="0" w:space="0" w:color="auto"/>
                            <w:bottom w:val="none" w:sz="0" w:space="0" w:color="auto"/>
                            <w:right w:val="none" w:sz="0" w:space="0" w:color="auto"/>
                          </w:divBdr>
                        </w:div>
                        <w:div w:id="636374185">
                          <w:marLeft w:val="0"/>
                          <w:marRight w:val="0"/>
                          <w:marTop w:val="0"/>
                          <w:marBottom w:val="0"/>
                          <w:divBdr>
                            <w:top w:val="none" w:sz="0" w:space="0" w:color="auto"/>
                            <w:left w:val="none" w:sz="0" w:space="0" w:color="auto"/>
                            <w:bottom w:val="none" w:sz="0" w:space="0" w:color="auto"/>
                            <w:right w:val="none" w:sz="0" w:space="0" w:color="auto"/>
                          </w:divBdr>
                        </w:div>
                        <w:div w:id="771440739">
                          <w:marLeft w:val="0"/>
                          <w:marRight w:val="0"/>
                          <w:marTop w:val="0"/>
                          <w:marBottom w:val="0"/>
                          <w:divBdr>
                            <w:top w:val="none" w:sz="0" w:space="0" w:color="auto"/>
                            <w:left w:val="none" w:sz="0" w:space="0" w:color="auto"/>
                            <w:bottom w:val="none" w:sz="0" w:space="0" w:color="auto"/>
                            <w:right w:val="none" w:sz="0" w:space="0" w:color="auto"/>
                          </w:divBdr>
                        </w:div>
                        <w:div w:id="986859092">
                          <w:marLeft w:val="0"/>
                          <w:marRight w:val="0"/>
                          <w:marTop w:val="0"/>
                          <w:marBottom w:val="0"/>
                          <w:divBdr>
                            <w:top w:val="none" w:sz="0" w:space="0" w:color="auto"/>
                            <w:left w:val="none" w:sz="0" w:space="0" w:color="auto"/>
                            <w:bottom w:val="none" w:sz="0" w:space="0" w:color="auto"/>
                            <w:right w:val="none" w:sz="0" w:space="0" w:color="auto"/>
                          </w:divBdr>
                        </w:div>
                        <w:div w:id="1095663249">
                          <w:marLeft w:val="0"/>
                          <w:marRight w:val="0"/>
                          <w:marTop w:val="0"/>
                          <w:marBottom w:val="0"/>
                          <w:divBdr>
                            <w:top w:val="none" w:sz="0" w:space="0" w:color="auto"/>
                            <w:left w:val="none" w:sz="0" w:space="0" w:color="auto"/>
                            <w:bottom w:val="none" w:sz="0" w:space="0" w:color="auto"/>
                            <w:right w:val="none" w:sz="0" w:space="0" w:color="auto"/>
                          </w:divBdr>
                        </w:div>
                        <w:div w:id="1438215239">
                          <w:marLeft w:val="0"/>
                          <w:marRight w:val="0"/>
                          <w:marTop w:val="0"/>
                          <w:marBottom w:val="0"/>
                          <w:divBdr>
                            <w:top w:val="none" w:sz="0" w:space="0" w:color="auto"/>
                            <w:left w:val="none" w:sz="0" w:space="0" w:color="auto"/>
                            <w:bottom w:val="none" w:sz="0" w:space="0" w:color="auto"/>
                            <w:right w:val="none" w:sz="0" w:space="0" w:color="auto"/>
                          </w:divBdr>
                        </w:div>
                        <w:div w:id="1820657933">
                          <w:marLeft w:val="0"/>
                          <w:marRight w:val="0"/>
                          <w:marTop w:val="0"/>
                          <w:marBottom w:val="0"/>
                          <w:divBdr>
                            <w:top w:val="none" w:sz="0" w:space="0" w:color="auto"/>
                            <w:left w:val="none" w:sz="0" w:space="0" w:color="auto"/>
                            <w:bottom w:val="none" w:sz="0" w:space="0" w:color="auto"/>
                            <w:right w:val="none" w:sz="0" w:space="0" w:color="auto"/>
                          </w:divBdr>
                        </w:div>
                      </w:divsChild>
                    </w:div>
                    <w:div w:id="738527109">
                      <w:marLeft w:val="0"/>
                      <w:marRight w:val="0"/>
                      <w:marTop w:val="0"/>
                      <w:marBottom w:val="0"/>
                      <w:divBdr>
                        <w:top w:val="none" w:sz="0" w:space="0" w:color="auto"/>
                        <w:left w:val="none" w:sz="0" w:space="0" w:color="auto"/>
                        <w:bottom w:val="none" w:sz="0" w:space="0" w:color="auto"/>
                        <w:right w:val="none" w:sz="0" w:space="0" w:color="auto"/>
                      </w:divBdr>
                      <w:divsChild>
                        <w:div w:id="1746612429">
                          <w:marLeft w:val="0"/>
                          <w:marRight w:val="0"/>
                          <w:marTop w:val="0"/>
                          <w:marBottom w:val="0"/>
                          <w:divBdr>
                            <w:top w:val="none" w:sz="0" w:space="0" w:color="auto"/>
                            <w:left w:val="none" w:sz="0" w:space="0" w:color="auto"/>
                            <w:bottom w:val="none" w:sz="0" w:space="0" w:color="auto"/>
                            <w:right w:val="none" w:sz="0" w:space="0" w:color="auto"/>
                          </w:divBdr>
                        </w:div>
                      </w:divsChild>
                    </w:div>
                    <w:div w:id="753284900">
                      <w:marLeft w:val="0"/>
                      <w:marRight w:val="0"/>
                      <w:marTop w:val="0"/>
                      <w:marBottom w:val="0"/>
                      <w:divBdr>
                        <w:top w:val="none" w:sz="0" w:space="0" w:color="auto"/>
                        <w:left w:val="none" w:sz="0" w:space="0" w:color="auto"/>
                        <w:bottom w:val="none" w:sz="0" w:space="0" w:color="auto"/>
                        <w:right w:val="none" w:sz="0" w:space="0" w:color="auto"/>
                      </w:divBdr>
                      <w:divsChild>
                        <w:div w:id="1970240508">
                          <w:marLeft w:val="0"/>
                          <w:marRight w:val="0"/>
                          <w:marTop w:val="0"/>
                          <w:marBottom w:val="0"/>
                          <w:divBdr>
                            <w:top w:val="none" w:sz="0" w:space="0" w:color="auto"/>
                            <w:left w:val="none" w:sz="0" w:space="0" w:color="auto"/>
                            <w:bottom w:val="none" w:sz="0" w:space="0" w:color="auto"/>
                            <w:right w:val="none" w:sz="0" w:space="0" w:color="auto"/>
                          </w:divBdr>
                        </w:div>
                      </w:divsChild>
                    </w:div>
                    <w:div w:id="811942022">
                      <w:marLeft w:val="0"/>
                      <w:marRight w:val="0"/>
                      <w:marTop w:val="0"/>
                      <w:marBottom w:val="0"/>
                      <w:divBdr>
                        <w:top w:val="none" w:sz="0" w:space="0" w:color="auto"/>
                        <w:left w:val="none" w:sz="0" w:space="0" w:color="auto"/>
                        <w:bottom w:val="none" w:sz="0" w:space="0" w:color="auto"/>
                        <w:right w:val="none" w:sz="0" w:space="0" w:color="auto"/>
                      </w:divBdr>
                      <w:divsChild>
                        <w:div w:id="672030621">
                          <w:marLeft w:val="0"/>
                          <w:marRight w:val="0"/>
                          <w:marTop w:val="0"/>
                          <w:marBottom w:val="0"/>
                          <w:divBdr>
                            <w:top w:val="none" w:sz="0" w:space="0" w:color="auto"/>
                            <w:left w:val="none" w:sz="0" w:space="0" w:color="auto"/>
                            <w:bottom w:val="none" w:sz="0" w:space="0" w:color="auto"/>
                            <w:right w:val="none" w:sz="0" w:space="0" w:color="auto"/>
                          </w:divBdr>
                        </w:div>
                      </w:divsChild>
                    </w:div>
                    <w:div w:id="829979967">
                      <w:marLeft w:val="0"/>
                      <w:marRight w:val="0"/>
                      <w:marTop w:val="0"/>
                      <w:marBottom w:val="0"/>
                      <w:divBdr>
                        <w:top w:val="none" w:sz="0" w:space="0" w:color="auto"/>
                        <w:left w:val="none" w:sz="0" w:space="0" w:color="auto"/>
                        <w:bottom w:val="none" w:sz="0" w:space="0" w:color="auto"/>
                        <w:right w:val="none" w:sz="0" w:space="0" w:color="auto"/>
                      </w:divBdr>
                      <w:divsChild>
                        <w:div w:id="1831017825">
                          <w:marLeft w:val="0"/>
                          <w:marRight w:val="0"/>
                          <w:marTop w:val="0"/>
                          <w:marBottom w:val="0"/>
                          <w:divBdr>
                            <w:top w:val="none" w:sz="0" w:space="0" w:color="auto"/>
                            <w:left w:val="none" w:sz="0" w:space="0" w:color="auto"/>
                            <w:bottom w:val="none" w:sz="0" w:space="0" w:color="auto"/>
                            <w:right w:val="none" w:sz="0" w:space="0" w:color="auto"/>
                          </w:divBdr>
                        </w:div>
                      </w:divsChild>
                    </w:div>
                    <w:div w:id="836573609">
                      <w:marLeft w:val="0"/>
                      <w:marRight w:val="0"/>
                      <w:marTop w:val="0"/>
                      <w:marBottom w:val="0"/>
                      <w:divBdr>
                        <w:top w:val="none" w:sz="0" w:space="0" w:color="auto"/>
                        <w:left w:val="none" w:sz="0" w:space="0" w:color="auto"/>
                        <w:bottom w:val="none" w:sz="0" w:space="0" w:color="auto"/>
                        <w:right w:val="none" w:sz="0" w:space="0" w:color="auto"/>
                      </w:divBdr>
                      <w:divsChild>
                        <w:div w:id="185215965">
                          <w:marLeft w:val="0"/>
                          <w:marRight w:val="0"/>
                          <w:marTop w:val="0"/>
                          <w:marBottom w:val="0"/>
                          <w:divBdr>
                            <w:top w:val="none" w:sz="0" w:space="0" w:color="auto"/>
                            <w:left w:val="none" w:sz="0" w:space="0" w:color="auto"/>
                            <w:bottom w:val="none" w:sz="0" w:space="0" w:color="auto"/>
                            <w:right w:val="none" w:sz="0" w:space="0" w:color="auto"/>
                          </w:divBdr>
                        </w:div>
                        <w:div w:id="1352682893">
                          <w:marLeft w:val="0"/>
                          <w:marRight w:val="0"/>
                          <w:marTop w:val="0"/>
                          <w:marBottom w:val="0"/>
                          <w:divBdr>
                            <w:top w:val="none" w:sz="0" w:space="0" w:color="auto"/>
                            <w:left w:val="none" w:sz="0" w:space="0" w:color="auto"/>
                            <w:bottom w:val="none" w:sz="0" w:space="0" w:color="auto"/>
                            <w:right w:val="none" w:sz="0" w:space="0" w:color="auto"/>
                          </w:divBdr>
                        </w:div>
                        <w:div w:id="1819228691">
                          <w:marLeft w:val="0"/>
                          <w:marRight w:val="0"/>
                          <w:marTop w:val="0"/>
                          <w:marBottom w:val="0"/>
                          <w:divBdr>
                            <w:top w:val="none" w:sz="0" w:space="0" w:color="auto"/>
                            <w:left w:val="none" w:sz="0" w:space="0" w:color="auto"/>
                            <w:bottom w:val="none" w:sz="0" w:space="0" w:color="auto"/>
                            <w:right w:val="none" w:sz="0" w:space="0" w:color="auto"/>
                          </w:divBdr>
                        </w:div>
                      </w:divsChild>
                    </w:div>
                    <w:div w:id="895432099">
                      <w:marLeft w:val="0"/>
                      <w:marRight w:val="0"/>
                      <w:marTop w:val="0"/>
                      <w:marBottom w:val="0"/>
                      <w:divBdr>
                        <w:top w:val="none" w:sz="0" w:space="0" w:color="auto"/>
                        <w:left w:val="none" w:sz="0" w:space="0" w:color="auto"/>
                        <w:bottom w:val="none" w:sz="0" w:space="0" w:color="auto"/>
                        <w:right w:val="none" w:sz="0" w:space="0" w:color="auto"/>
                      </w:divBdr>
                      <w:divsChild>
                        <w:div w:id="607083766">
                          <w:marLeft w:val="0"/>
                          <w:marRight w:val="0"/>
                          <w:marTop w:val="0"/>
                          <w:marBottom w:val="0"/>
                          <w:divBdr>
                            <w:top w:val="none" w:sz="0" w:space="0" w:color="auto"/>
                            <w:left w:val="none" w:sz="0" w:space="0" w:color="auto"/>
                            <w:bottom w:val="none" w:sz="0" w:space="0" w:color="auto"/>
                            <w:right w:val="none" w:sz="0" w:space="0" w:color="auto"/>
                          </w:divBdr>
                        </w:div>
                        <w:div w:id="1632979958">
                          <w:marLeft w:val="0"/>
                          <w:marRight w:val="0"/>
                          <w:marTop w:val="0"/>
                          <w:marBottom w:val="0"/>
                          <w:divBdr>
                            <w:top w:val="none" w:sz="0" w:space="0" w:color="auto"/>
                            <w:left w:val="none" w:sz="0" w:space="0" w:color="auto"/>
                            <w:bottom w:val="none" w:sz="0" w:space="0" w:color="auto"/>
                            <w:right w:val="none" w:sz="0" w:space="0" w:color="auto"/>
                          </w:divBdr>
                        </w:div>
                        <w:div w:id="1721903099">
                          <w:marLeft w:val="0"/>
                          <w:marRight w:val="0"/>
                          <w:marTop w:val="0"/>
                          <w:marBottom w:val="0"/>
                          <w:divBdr>
                            <w:top w:val="none" w:sz="0" w:space="0" w:color="auto"/>
                            <w:left w:val="none" w:sz="0" w:space="0" w:color="auto"/>
                            <w:bottom w:val="none" w:sz="0" w:space="0" w:color="auto"/>
                            <w:right w:val="none" w:sz="0" w:space="0" w:color="auto"/>
                          </w:divBdr>
                        </w:div>
                      </w:divsChild>
                    </w:div>
                    <w:div w:id="901326848">
                      <w:marLeft w:val="0"/>
                      <w:marRight w:val="0"/>
                      <w:marTop w:val="0"/>
                      <w:marBottom w:val="0"/>
                      <w:divBdr>
                        <w:top w:val="none" w:sz="0" w:space="0" w:color="auto"/>
                        <w:left w:val="none" w:sz="0" w:space="0" w:color="auto"/>
                        <w:bottom w:val="none" w:sz="0" w:space="0" w:color="auto"/>
                        <w:right w:val="none" w:sz="0" w:space="0" w:color="auto"/>
                      </w:divBdr>
                      <w:divsChild>
                        <w:div w:id="449007316">
                          <w:marLeft w:val="0"/>
                          <w:marRight w:val="0"/>
                          <w:marTop w:val="0"/>
                          <w:marBottom w:val="0"/>
                          <w:divBdr>
                            <w:top w:val="none" w:sz="0" w:space="0" w:color="auto"/>
                            <w:left w:val="none" w:sz="0" w:space="0" w:color="auto"/>
                            <w:bottom w:val="none" w:sz="0" w:space="0" w:color="auto"/>
                            <w:right w:val="none" w:sz="0" w:space="0" w:color="auto"/>
                          </w:divBdr>
                        </w:div>
                      </w:divsChild>
                    </w:div>
                    <w:div w:id="917402369">
                      <w:marLeft w:val="0"/>
                      <w:marRight w:val="0"/>
                      <w:marTop w:val="0"/>
                      <w:marBottom w:val="0"/>
                      <w:divBdr>
                        <w:top w:val="none" w:sz="0" w:space="0" w:color="auto"/>
                        <w:left w:val="none" w:sz="0" w:space="0" w:color="auto"/>
                        <w:bottom w:val="none" w:sz="0" w:space="0" w:color="auto"/>
                        <w:right w:val="none" w:sz="0" w:space="0" w:color="auto"/>
                      </w:divBdr>
                      <w:divsChild>
                        <w:div w:id="55595122">
                          <w:marLeft w:val="0"/>
                          <w:marRight w:val="0"/>
                          <w:marTop w:val="0"/>
                          <w:marBottom w:val="0"/>
                          <w:divBdr>
                            <w:top w:val="none" w:sz="0" w:space="0" w:color="auto"/>
                            <w:left w:val="none" w:sz="0" w:space="0" w:color="auto"/>
                            <w:bottom w:val="none" w:sz="0" w:space="0" w:color="auto"/>
                            <w:right w:val="none" w:sz="0" w:space="0" w:color="auto"/>
                          </w:divBdr>
                        </w:div>
                        <w:div w:id="1689453852">
                          <w:marLeft w:val="0"/>
                          <w:marRight w:val="0"/>
                          <w:marTop w:val="0"/>
                          <w:marBottom w:val="0"/>
                          <w:divBdr>
                            <w:top w:val="none" w:sz="0" w:space="0" w:color="auto"/>
                            <w:left w:val="none" w:sz="0" w:space="0" w:color="auto"/>
                            <w:bottom w:val="none" w:sz="0" w:space="0" w:color="auto"/>
                            <w:right w:val="none" w:sz="0" w:space="0" w:color="auto"/>
                          </w:divBdr>
                        </w:div>
                      </w:divsChild>
                    </w:div>
                    <w:div w:id="926423447">
                      <w:marLeft w:val="0"/>
                      <w:marRight w:val="0"/>
                      <w:marTop w:val="0"/>
                      <w:marBottom w:val="0"/>
                      <w:divBdr>
                        <w:top w:val="none" w:sz="0" w:space="0" w:color="auto"/>
                        <w:left w:val="none" w:sz="0" w:space="0" w:color="auto"/>
                        <w:bottom w:val="none" w:sz="0" w:space="0" w:color="auto"/>
                        <w:right w:val="none" w:sz="0" w:space="0" w:color="auto"/>
                      </w:divBdr>
                      <w:divsChild>
                        <w:div w:id="513107509">
                          <w:marLeft w:val="0"/>
                          <w:marRight w:val="0"/>
                          <w:marTop w:val="0"/>
                          <w:marBottom w:val="0"/>
                          <w:divBdr>
                            <w:top w:val="none" w:sz="0" w:space="0" w:color="auto"/>
                            <w:left w:val="none" w:sz="0" w:space="0" w:color="auto"/>
                            <w:bottom w:val="none" w:sz="0" w:space="0" w:color="auto"/>
                            <w:right w:val="none" w:sz="0" w:space="0" w:color="auto"/>
                          </w:divBdr>
                        </w:div>
                        <w:div w:id="890727646">
                          <w:marLeft w:val="0"/>
                          <w:marRight w:val="0"/>
                          <w:marTop w:val="0"/>
                          <w:marBottom w:val="0"/>
                          <w:divBdr>
                            <w:top w:val="none" w:sz="0" w:space="0" w:color="auto"/>
                            <w:left w:val="none" w:sz="0" w:space="0" w:color="auto"/>
                            <w:bottom w:val="none" w:sz="0" w:space="0" w:color="auto"/>
                            <w:right w:val="none" w:sz="0" w:space="0" w:color="auto"/>
                          </w:divBdr>
                        </w:div>
                      </w:divsChild>
                    </w:div>
                    <w:div w:id="985865136">
                      <w:marLeft w:val="0"/>
                      <w:marRight w:val="0"/>
                      <w:marTop w:val="0"/>
                      <w:marBottom w:val="0"/>
                      <w:divBdr>
                        <w:top w:val="none" w:sz="0" w:space="0" w:color="auto"/>
                        <w:left w:val="none" w:sz="0" w:space="0" w:color="auto"/>
                        <w:bottom w:val="none" w:sz="0" w:space="0" w:color="auto"/>
                        <w:right w:val="none" w:sz="0" w:space="0" w:color="auto"/>
                      </w:divBdr>
                      <w:divsChild>
                        <w:div w:id="430702674">
                          <w:marLeft w:val="0"/>
                          <w:marRight w:val="0"/>
                          <w:marTop w:val="0"/>
                          <w:marBottom w:val="0"/>
                          <w:divBdr>
                            <w:top w:val="none" w:sz="0" w:space="0" w:color="auto"/>
                            <w:left w:val="none" w:sz="0" w:space="0" w:color="auto"/>
                            <w:bottom w:val="none" w:sz="0" w:space="0" w:color="auto"/>
                            <w:right w:val="none" w:sz="0" w:space="0" w:color="auto"/>
                          </w:divBdr>
                        </w:div>
                        <w:div w:id="627199039">
                          <w:marLeft w:val="0"/>
                          <w:marRight w:val="0"/>
                          <w:marTop w:val="0"/>
                          <w:marBottom w:val="0"/>
                          <w:divBdr>
                            <w:top w:val="none" w:sz="0" w:space="0" w:color="auto"/>
                            <w:left w:val="none" w:sz="0" w:space="0" w:color="auto"/>
                            <w:bottom w:val="none" w:sz="0" w:space="0" w:color="auto"/>
                            <w:right w:val="none" w:sz="0" w:space="0" w:color="auto"/>
                          </w:divBdr>
                        </w:div>
                        <w:div w:id="642389098">
                          <w:marLeft w:val="0"/>
                          <w:marRight w:val="0"/>
                          <w:marTop w:val="0"/>
                          <w:marBottom w:val="0"/>
                          <w:divBdr>
                            <w:top w:val="none" w:sz="0" w:space="0" w:color="auto"/>
                            <w:left w:val="none" w:sz="0" w:space="0" w:color="auto"/>
                            <w:bottom w:val="none" w:sz="0" w:space="0" w:color="auto"/>
                            <w:right w:val="none" w:sz="0" w:space="0" w:color="auto"/>
                          </w:divBdr>
                        </w:div>
                        <w:div w:id="1139416931">
                          <w:marLeft w:val="0"/>
                          <w:marRight w:val="0"/>
                          <w:marTop w:val="0"/>
                          <w:marBottom w:val="0"/>
                          <w:divBdr>
                            <w:top w:val="none" w:sz="0" w:space="0" w:color="auto"/>
                            <w:left w:val="none" w:sz="0" w:space="0" w:color="auto"/>
                            <w:bottom w:val="none" w:sz="0" w:space="0" w:color="auto"/>
                            <w:right w:val="none" w:sz="0" w:space="0" w:color="auto"/>
                          </w:divBdr>
                        </w:div>
                        <w:div w:id="1553424662">
                          <w:marLeft w:val="0"/>
                          <w:marRight w:val="0"/>
                          <w:marTop w:val="0"/>
                          <w:marBottom w:val="0"/>
                          <w:divBdr>
                            <w:top w:val="none" w:sz="0" w:space="0" w:color="auto"/>
                            <w:left w:val="none" w:sz="0" w:space="0" w:color="auto"/>
                            <w:bottom w:val="none" w:sz="0" w:space="0" w:color="auto"/>
                            <w:right w:val="none" w:sz="0" w:space="0" w:color="auto"/>
                          </w:divBdr>
                        </w:div>
                      </w:divsChild>
                    </w:div>
                    <w:div w:id="1002395276">
                      <w:marLeft w:val="0"/>
                      <w:marRight w:val="0"/>
                      <w:marTop w:val="0"/>
                      <w:marBottom w:val="0"/>
                      <w:divBdr>
                        <w:top w:val="none" w:sz="0" w:space="0" w:color="auto"/>
                        <w:left w:val="none" w:sz="0" w:space="0" w:color="auto"/>
                        <w:bottom w:val="none" w:sz="0" w:space="0" w:color="auto"/>
                        <w:right w:val="none" w:sz="0" w:space="0" w:color="auto"/>
                      </w:divBdr>
                      <w:divsChild>
                        <w:div w:id="806969262">
                          <w:marLeft w:val="0"/>
                          <w:marRight w:val="0"/>
                          <w:marTop w:val="0"/>
                          <w:marBottom w:val="0"/>
                          <w:divBdr>
                            <w:top w:val="none" w:sz="0" w:space="0" w:color="auto"/>
                            <w:left w:val="none" w:sz="0" w:space="0" w:color="auto"/>
                            <w:bottom w:val="none" w:sz="0" w:space="0" w:color="auto"/>
                            <w:right w:val="none" w:sz="0" w:space="0" w:color="auto"/>
                          </w:divBdr>
                        </w:div>
                      </w:divsChild>
                    </w:div>
                    <w:div w:id="1041511943">
                      <w:marLeft w:val="0"/>
                      <w:marRight w:val="0"/>
                      <w:marTop w:val="0"/>
                      <w:marBottom w:val="0"/>
                      <w:divBdr>
                        <w:top w:val="none" w:sz="0" w:space="0" w:color="auto"/>
                        <w:left w:val="none" w:sz="0" w:space="0" w:color="auto"/>
                        <w:bottom w:val="none" w:sz="0" w:space="0" w:color="auto"/>
                        <w:right w:val="none" w:sz="0" w:space="0" w:color="auto"/>
                      </w:divBdr>
                      <w:divsChild>
                        <w:div w:id="13532779">
                          <w:marLeft w:val="0"/>
                          <w:marRight w:val="0"/>
                          <w:marTop w:val="0"/>
                          <w:marBottom w:val="0"/>
                          <w:divBdr>
                            <w:top w:val="none" w:sz="0" w:space="0" w:color="auto"/>
                            <w:left w:val="none" w:sz="0" w:space="0" w:color="auto"/>
                            <w:bottom w:val="none" w:sz="0" w:space="0" w:color="auto"/>
                            <w:right w:val="none" w:sz="0" w:space="0" w:color="auto"/>
                          </w:divBdr>
                        </w:div>
                        <w:div w:id="1503548682">
                          <w:marLeft w:val="0"/>
                          <w:marRight w:val="0"/>
                          <w:marTop w:val="0"/>
                          <w:marBottom w:val="0"/>
                          <w:divBdr>
                            <w:top w:val="none" w:sz="0" w:space="0" w:color="auto"/>
                            <w:left w:val="none" w:sz="0" w:space="0" w:color="auto"/>
                            <w:bottom w:val="none" w:sz="0" w:space="0" w:color="auto"/>
                            <w:right w:val="none" w:sz="0" w:space="0" w:color="auto"/>
                          </w:divBdr>
                        </w:div>
                        <w:div w:id="1860120641">
                          <w:marLeft w:val="0"/>
                          <w:marRight w:val="0"/>
                          <w:marTop w:val="0"/>
                          <w:marBottom w:val="0"/>
                          <w:divBdr>
                            <w:top w:val="none" w:sz="0" w:space="0" w:color="auto"/>
                            <w:left w:val="none" w:sz="0" w:space="0" w:color="auto"/>
                            <w:bottom w:val="none" w:sz="0" w:space="0" w:color="auto"/>
                            <w:right w:val="none" w:sz="0" w:space="0" w:color="auto"/>
                          </w:divBdr>
                        </w:div>
                      </w:divsChild>
                    </w:div>
                    <w:div w:id="1351832504">
                      <w:marLeft w:val="0"/>
                      <w:marRight w:val="0"/>
                      <w:marTop w:val="0"/>
                      <w:marBottom w:val="0"/>
                      <w:divBdr>
                        <w:top w:val="none" w:sz="0" w:space="0" w:color="auto"/>
                        <w:left w:val="none" w:sz="0" w:space="0" w:color="auto"/>
                        <w:bottom w:val="none" w:sz="0" w:space="0" w:color="auto"/>
                        <w:right w:val="none" w:sz="0" w:space="0" w:color="auto"/>
                      </w:divBdr>
                      <w:divsChild>
                        <w:div w:id="1493644077">
                          <w:marLeft w:val="0"/>
                          <w:marRight w:val="0"/>
                          <w:marTop w:val="0"/>
                          <w:marBottom w:val="0"/>
                          <w:divBdr>
                            <w:top w:val="none" w:sz="0" w:space="0" w:color="auto"/>
                            <w:left w:val="none" w:sz="0" w:space="0" w:color="auto"/>
                            <w:bottom w:val="none" w:sz="0" w:space="0" w:color="auto"/>
                            <w:right w:val="none" w:sz="0" w:space="0" w:color="auto"/>
                          </w:divBdr>
                        </w:div>
                        <w:div w:id="2014337793">
                          <w:marLeft w:val="0"/>
                          <w:marRight w:val="0"/>
                          <w:marTop w:val="0"/>
                          <w:marBottom w:val="0"/>
                          <w:divBdr>
                            <w:top w:val="none" w:sz="0" w:space="0" w:color="auto"/>
                            <w:left w:val="none" w:sz="0" w:space="0" w:color="auto"/>
                            <w:bottom w:val="none" w:sz="0" w:space="0" w:color="auto"/>
                            <w:right w:val="none" w:sz="0" w:space="0" w:color="auto"/>
                          </w:divBdr>
                        </w:div>
                      </w:divsChild>
                    </w:div>
                    <w:div w:id="1399084986">
                      <w:marLeft w:val="0"/>
                      <w:marRight w:val="0"/>
                      <w:marTop w:val="0"/>
                      <w:marBottom w:val="0"/>
                      <w:divBdr>
                        <w:top w:val="none" w:sz="0" w:space="0" w:color="auto"/>
                        <w:left w:val="none" w:sz="0" w:space="0" w:color="auto"/>
                        <w:bottom w:val="none" w:sz="0" w:space="0" w:color="auto"/>
                        <w:right w:val="none" w:sz="0" w:space="0" w:color="auto"/>
                      </w:divBdr>
                      <w:divsChild>
                        <w:div w:id="1887254501">
                          <w:marLeft w:val="0"/>
                          <w:marRight w:val="0"/>
                          <w:marTop w:val="0"/>
                          <w:marBottom w:val="0"/>
                          <w:divBdr>
                            <w:top w:val="none" w:sz="0" w:space="0" w:color="auto"/>
                            <w:left w:val="none" w:sz="0" w:space="0" w:color="auto"/>
                            <w:bottom w:val="none" w:sz="0" w:space="0" w:color="auto"/>
                            <w:right w:val="none" w:sz="0" w:space="0" w:color="auto"/>
                          </w:divBdr>
                        </w:div>
                      </w:divsChild>
                    </w:div>
                    <w:div w:id="1736392856">
                      <w:marLeft w:val="0"/>
                      <w:marRight w:val="0"/>
                      <w:marTop w:val="0"/>
                      <w:marBottom w:val="0"/>
                      <w:divBdr>
                        <w:top w:val="none" w:sz="0" w:space="0" w:color="auto"/>
                        <w:left w:val="none" w:sz="0" w:space="0" w:color="auto"/>
                        <w:bottom w:val="none" w:sz="0" w:space="0" w:color="auto"/>
                        <w:right w:val="none" w:sz="0" w:space="0" w:color="auto"/>
                      </w:divBdr>
                      <w:divsChild>
                        <w:div w:id="234438490">
                          <w:marLeft w:val="0"/>
                          <w:marRight w:val="0"/>
                          <w:marTop w:val="0"/>
                          <w:marBottom w:val="0"/>
                          <w:divBdr>
                            <w:top w:val="none" w:sz="0" w:space="0" w:color="auto"/>
                            <w:left w:val="none" w:sz="0" w:space="0" w:color="auto"/>
                            <w:bottom w:val="none" w:sz="0" w:space="0" w:color="auto"/>
                            <w:right w:val="none" w:sz="0" w:space="0" w:color="auto"/>
                          </w:divBdr>
                        </w:div>
                      </w:divsChild>
                    </w:div>
                    <w:div w:id="1755585404">
                      <w:marLeft w:val="0"/>
                      <w:marRight w:val="0"/>
                      <w:marTop w:val="0"/>
                      <w:marBottom w:val="0"/>
                      <w:divBdr>
                        <w:top w:val="none" w:sz="0" w:space="0" w:color="auto"/>
                        <w:left w:val="none" w:sz="0" w:space="0" w:color="auto"/>
                        <w:bottom w:val="none" w:sz="0" w:space="0" w:color="auto"/>
                        <w:right w:val="none" w:sz="0" w:space="0" w:color="auto"/>
                      </w:divBdr>
                      <w:divsChild>
                        <w:div w:id="230122742">
                          <w:marLeft w:val="0"/>
                          <w:marRight w:val="0"/>
                          <w:marTop w:val="0"/>
                          <w:marBottom w:val="0"/>
                          <w:divBdr>
                            <w:top w:val="none" w:sz="0" w:space="0" w:color="auto"/>
                            <w:left w:val="none" w:sz="0" w:space="0" w:color="auto"/>
                            <w:bottom w:val="none" w:sz="0" w:space="0" w:color="auto"/>
                            <w:right w:val="none" w:sz="0" w:space="0" w:color="auto"/>
                          </w:divBdr>
                        </w:div>
                      </w:divsChild>
                    </w:div>
                    <w:div w:id="1770852616">
                      <w:marLeft w:val="0"/>
                      <w:marRight w:val="0"/>
                      <w:marTop w:val="0"/>
                      <w:marBottom w:val="0"/>
                      <w:divBdr>
                        <w:top w:val="none" w:sz="0" w:space="0" w:color="auto"/>
                        <w:left w:val="none" w:sz="0" w:space="0" w:color="auto"/>
                        <w:bottom w:val="none" w:sz="0" w:space="0" w:color="auto"/>
                        <w:right w:val="none" w:sz="0" w:space="0" w:color="auto"/>
                      </w:divBdr>
                      <w:divsChild>
                        <w:div w:id="245960513">
                          <w:marLeft w:val="0"/>
                          <w:marRight w:val="0"/>
                          <w:marTop w:val="0"/>
                          <w:marBottom w:val="0"/>
                          <w:divBdr>
                            <w:top w:val="none" w:sz="0" w:space="0" w:color="auto"/>
                            <w:left w:val="none" w:sz="0" w:space="0" w:color="auto"/>
                            <w:bottom w:val="none" w:sz="0" w:space="0" w:color="auto"/>
                            <w:right w:val="none" w:sz="0" w:space="0" w:color="auto"/>
                          </w:divBdr>
                        </w:div>
                        <w:div w:id="795489990">
                          <w:marLeft w:val="0"/>
                          <w:marRight w:val="0"/>
                          <w:marTop w:val="0"/>
                          <w:marBottom w:val="0"/>
                          <w:divBdr>
                            <w:top w:val="none" w:sz="0" w:space="0" w:color="auto"/>
                            <w:left w:val="none" w:sz="0" w:space="0" w:color="auto"/>
                            <w:bottom w:val="none" w:sz="0" w:space="0" w:color="auto"/>
                            <w:right w:val="none" w:sz="0" w:space="0" w:color="auto"/>
                          </w:divBdr>
                        </w:div>
                        <w:div w:id="1134983541">
                          <w:marLeft w:val="0"/>
                          <w:marRight w:val="0"/>
                          <w:marTop w:val="0"/>
                          <w:marBottom w:val="0"/>
                          <w:divBdr>
                            <w:top w:val="none" w:sz="0" w:space="0" w:color="auto"/>
                            <w:left w:val="none" w:sz="0" w:space="0" w:color="auto"/>
                            <w:bottom w:val="none" w:sz="0" w:space="0" w:color="auto"/>
                            <w:right w:val="none" w:sz="0" w:space="0" w:color="auto"/>
                          </w:divBdr>
                        </w:div>
                        <w:div w:id="1254581899">
                          <w:marLeft w:val="0"/>
                          <w:marRight w:val="0"/>
                          <w:marTop w:val="0"/>
                          <w:marBottom w:val="0"/>
                          <w:divBdr>
                            <w:top w:val="none" w:sz="0" w:space="0" w:color="auto"/>
                            <w:left w:val="none" w:sz="0" w:space="0" w:color="auto"/>
                            <w:bottom w:val="none" w:sz="0" w:space="0" w:color="auto"/>
                            <w:right w:val="none" w:sz="0" w:space="0" w:color="auto"/>
                          </w:divBdr>
                        </w:div>
                      </w:divsChild>
                    </w:div>
                    <w:div w:id="1838958463">
                      <w:marLeft w:val="0"/>
                      <w:marRight w:val="0"/>
                      <w:marTop w:val="0"/>
                      <w:marBottom w:val="0"/>
                      <w:divBdr>
                        <w:top w:val="none" w:sz="0" w:space="0" w:color="auto"/>
                        <w:left w:val="none" w:sz="0" w:space="0" w:color="auto"/>
                        <w:bottom w:val="none" w:sz="0" w:space="0" w:color="auto"/>
                        <w:right w:val="none" w:sz="0" w:space="0" w:color="auto"/>
                      </w:divBdr>
                      <w:divsChild>
                        <w:div w:id="1141774607">
                          <w:marLeft w:val="0"/>
                          <w:marRight w:val="0"/>
                          <w:marTop w:val="0"/>
                          <w:marBottom w:val="0"/>
                          <w:divBdr>
                            <w:top w:val="none" w:sz="0" w:space="0" w:color="auto"/>
                            <w:left w:val="none" w:sz="0" w:space="0" w:color="auto"/>
                            <w:bottom w:val="none" w:sz="0" w:space="0" w:color="auto"/>
                            <w:right w:val="none" w:sz="0" w:space="0" w:color="auto"/>
                          </w:divBdr>
                        </w:div>
                        <w:div w:id="1607229016">
                          <w:marLeft w:val="0"/>
                          <w:marRight w:val="0"/>
                          <w:marTop w:val="0"/>
                          <w:marBottom w:val="0"/>
                          <w:divBdr>
                            <w:top w:val="none" w:sz="0" w:space="0" w:color="auto"/>
                            <w:left w:val="none" w:sz="0" w:space="0" w:color="auto"/>
                            <w:bottom w:val="none" w:sz="0" w:space="0" w:color="auto"/>
                            <w:right w:val="none" w:sz="0" w:space="0" w:color="auto"/>
                          </w:divBdr>
                        </w:div>
                      </w:divsChild>
                    </w:div>
                    <w:div w:id="1853446310">
                      <w:marLeft w:val="0"/>
                      <w:marRight w:val="0"/>
                      <w:marTop w:val="0"/>
                      <w:marBottom w:val="0"/>
                      <w:divBdr>
                        <w:top w:val="none" w:sz="0" w:space="0" w:color="auto"/>
                        <w:left w:val="none" w:sz="0" w:space="0" w:color="auto"/>
                        <w:bottom w:val="none" w:sz="0" w:space="0" w:color="auto"/>
                        <w:right w:val="none" w:sz="0" w:space="0" w:color="auto"/>
                      </w:divBdr>
                      <w:divsChild>
                        <w:div w:id="829521858">
                          <w:marLeft w:val="0"/>
                          <w:marRight w:val="0"/>
                          <w:marTop w:val="0"/>
                          <w:marBottom w:val="0"/>
                          <w:divBdr>
                            <w:top w:val="none" w:sz="0" w:space="0" w:color="auto"/>
                            <w:left w:val="none" w:sz="0" w:space="0" w:color="auto"/>
                            <w:bottom w:val="none" w:sz="0" w:space="0" w:color="auto"/>
                            <w:right w:val="none" w:sz="0" w:space="0" w:color="auto"/>
                          </w:divBdr>
                        </w:div>
                        <w:div w:id="990603169">
                          <w:marLeft w:val="0"/>
                          <w:marRight w:val="0"/>
                          <w:marTop w:val="0"/>
                          <w:marBottom w:val="0"/>
                          <w:divBdr>
                            <w:top w:val="none" w:sz="0" w:space="0" w:color="auto"/>
                            <w:left w:val="none" w:sz="0" w:space="0" w:color="auto"/>
                            <w:bottom w:val="none" w:sz="0" w:space="0" w:color="auto"/>
                            <w:right w:val="none" w:sz="0" w:space="0" w:color="auto"/>
                          </w:divBdr>
                        </w:div>
                        <w:div w:id="1881822449">
                          <w:marLeft w:val="0"/>
                          <w:marRight w:val="0"/>
                          <w:marTop w:val="0"/>
                          <w:marBottom w:val="0"/>
                          <w:divBdr>
                            <w:top w:val="none" w:sz="0" w:space="0" w:color="auto"/>
                            <w:left w:val="none" w:sz="0" w:space="0" w:color="auto"/>
                            <w:bottom w:val="none" w:sz="0" w:space="0" w:color="auto"/>
                            <w:right w:val="none" w:sz="0" w:space="0" w:color="auto"/>
                          </w:divBdr>
                        </w:div>
                      </w:divsChild>
                    </w:div>
                    <w:div w:id="1860972790">
                      <w:marLeft w:val="0"/>
                      <w:marRight w:val="0"/>
                      <w:marTop w:val="0"/>
                      <w:marBottom w:val="0"/>
                      <w:divBdr>
                        <w:top w:val="none" w:sz="0" w:space="0" w:color="auto"/>
                        <w:left w:val="none" w:sz="0" w:space="0" w:color="auto"/>
                        <w:bottom w:val="none" w:sz="0" w:space="0" w:color="auto"/>
                        <w:right w:val="none" w:sz="0" w:space="0" w:color="auto"/>
                      </w:divBdr>
                      <w:divsChild>
                        <w:div w:id="1114983015">
                          <w:marLeft w:val="0"/>
                          <w:marRight w:val="0"/>
                          <w:marTop w:val="0"/>
                          <w:marBottom w:val="0"/>
                          <w:divBdr>
                            <w:top w:val="none" w:sz="0" w:space="0" w:color="auto"/>
                            <w:left w:val="none" w:sz="0" w:space="0" w:color="auto"/>
                            <w:bottom w:val="none" w:sz="0" w:space="0" w:color="auto"/>
                            <w:right w:val="none" w:sz="0" w:space="0" w:color="auto"/>
                          </w:divBdr>
                        </w:div>
                      </w:divsChild>
                    </w:div>
                    <w:div w:id="1894003937">
                      <w:marLeft w:val="0"/>
                      <w:marRight w:val="0"/>
                      <w:marTop w:val="0"/>
                      <w:marBottom w:val="0"/>
                      <w:divBdr>
                        <w:top w:val="none" w:sz="0" w:space="0" w:color="auto"/>
                        <w:left w:val="none" w:sz="0" w:space="0" w:color="auto"/>
                        <w:bottom w:val="none" w:sz="0" w:space="0" w:color="auto"/>
                        <w:right w:val="none" w:sz="0" w:space="0" w:color="auto"/>
                      </w:divBdr>
                      <w:divsChild>
                        <w:div w:id="309092131">
                          <w:marLeft w:val="0"/>
                          <w:marRight w:val="0"/>
                          <w:marTop w:val="0"/>
                          <w:marBottom w:val="0"/>
                          <w:divBdr>
                            <w:top w:val="none" w:sz="0" w:space="0" w:color="auto"/>
                            <w:left w:val="none" w:sz="0" w:space="0" w:color="auto"/>
                            <w:bottom w:val="none" w:sz="0" w:space="0" w:color="auto"/>
                            <w:right w:val="none" w:sz="0" w:space="0" w:color="auto"/>
                          </w:divBdr>
                        </w:div>
                        <w:div w:id="329673229">
                          <w:marLeft w:val="0"/>
                          <w:marRight w:val="0"/>
                          <w:marTop w:val="0"/>
                          <w:marBottom w:val="0"/>
                          <w:divBdr>
                            <w:top w:val="none" w:sz="0" w:space="0" w:color="auto"/>
                            <w:left w:val="none" w:sz="0" w:space="0" w:color="auto"/>
                            <w:bottom w:val="none" w:sz="0" w:space="0" w:color="auto"/>
                            <w:right w:val="none" w:sz="0" w:space="0" w:color="auto"/>
                          </w:divBdr>
                        </w:div>
                        <w:div w:id="1323435279">
                          <w:marLeft w:val="0"/>
                          <w:marRight w:val="0"/>
                          <w:marTop w:val="0"/>
                          <w:marBottom w:val="0"/>
                          <w:divBdr>
                            <w:top w:val="none" w:sz="0" w:space="0" w:color="auto"/>
                            <w:left w:val="none" w:sz="0" w:space="0" w:color="auto"/>
                            <w:bottom w:val="none" w:sz="0" w:space="0" w:color="auto"/>
                            <w:right w:val="none" w:sz="0" w:space="0" w:color="auto"/>
                          </w:divBdr>
                        </w:div>
                      </w:divsChild>
                    </w:div>
                    <w:div w:id="2022732908">
                      <w:marLeft w:val="0"/>
                      <w:marRight w:val="0"/>
                      <w:marTop w:val="0"/>
                      <w:marBottom w:val="0"/>
                      <w:divBdr>
                        <w:top w:val="none" w:sz="0" w:space="0" w:color="auto"/>
                        <w:left w:val="none" w:sz="0" w:space="0" w:color="auto"/>
                        <w:bottom w:val="none" w:sz="0" w:space="0" w:color="auto"/>
                        <w:right w:val="none" w:sz="0" w:space="0" w:color="auto"/>
                      </w:divBdr>
                      <w:divsChild>
                        <w:div w:id="47996425">
                          <w:marLeft w:val="0"/>
                          <w:marRight w:val="0"/>
                          <w:marTop w:val="0"/>
                          <w:marBottom w:val="0"/>
                          <w:divBdr>
                            <w:top w:val="none" w:sz="0" w:space="0" w:color="auto"/>
                            <w:left w:val="none" w:sz="0" w:space="0" w:color="auto"/>
                            <w:bottom w:val="none" w:sz="0" w:space="0" w:color="auto"/>
                            <w:right w:val="none" w:sz="0" w:space="0" w:color="auto"/>
                          </w:divBdr>
                        </w:div>
                        <w:div w:id="93064302">
                          <w:marLeft w:val="0"/>
                          <w:marRight w:val="0"/>
                          <w:marTop w:val="0"/>
                          <w:marBottom w:val="0"/>
                          <w:divBdr>
                            <w:top w:val="none" w:sz="0" w:space="0" w:color="auto"/>
                            <w:left w:val="none" w:sz="0" w:space="0" w:color="auto"/>
                            <w:bottom w:val="none" w:sz="0" w:space="0" w:color="auto"/>
                            <w:right w:val="none" w:sz="0" w:space="0" w:color="auto"/>
                          </w:divBdr>
                        </w:div>
                        <w:div w:id="305817486">
                          <w:marLeft w:val="0"/>
                          <w:marRight w:val="0"/>
                          <w:marTop w:val="0"/>
                          <w:marBottom w:val="0"/>
                          <w:divBdr>
                            <w:top w:val="none" w:sz="0" w:space="0" w:color="auto"/>
                            <w:left w:val="none" w:sz="0" w:space="0" w:color="auto"/>
                            <w:bottom w:val="none" w:sz="0" w:space="0" w:color="auto"/>
                            <w:right w:val="none" w:sz="0" w:space="0" w:color="auto"/>
                          </w:divBdr>
                        </w:div>
                        <w:div w:id="321658859">
                          <w:marLeft w:val="0"/>
                          <w:marRight w:val="0"/>
                          <w:marTop w:val="0"/>
                          <w:marBottom w:val="0"/>
                          <w:divBdr>
                            <w:top w:val="none" w:sz="0" w:space="0" w:color="auto"/>
                            <w:left w:val="none" w:sz="0" w:space="0" w:color="auto"/>
                            <w:bottom w:val="none" w:sz="0" w:space="0" w:color="auto"/>
                            <w:right w:val="none" w:sz="0" w:space="0" w:color="auto"/>
                          </w:divBdr>
                        </w:div>
                        <w:div w:id="866257874">
                          <w:marLeft w:val="0"/>
                          <w:marRight w:val="0"/>
                          <w:marTop w:val="0"/>
                          <w:marBottom w:val="0"/>
                          <w:divBdr>
                            <w:top w:val="none" w:sz="0" w:space="0" w:color="auto"/>
                            <w:left w:val="none" w:sz="0" w:space="0" w:color="auto"/>
                            <w:bottom w:val="none" w:sz="0" w:space="0" w:color="auto"/>
                            <w:right w:val="none" w:sz="0" w:space="0" w:color="auto"/>
                          </w:divBdr>
                        </w:div>
                        <w:div w:id="1053043581">
                          <w:marLeft w:val="0"/>
                          <w:marRight w:val="0"/>
                          <w:marTop w:val="0"/>
                          <w:marBottom w:val="0"/>
                          <w:divBdr>
                            <w:top w:val="none" w:sz="0" w:space="0" w:color="auto"/>
                            <w:left w:val="none" w:sz="0" w:space="0" w:color="auto"/>
                            <w:bottom w:val="none" w:sz="0" w:space="0" w:color="auto"/>
                            <w:right w:val="none" w:sz="0" w:space="0" w:color="auto"/>
                          </w:divBdr>
                        </w:div>
                        <w:div w:id="1171095295">
                          <w:marLeft w:val="0"/>
                          <w:marRight w:val="0"/>
                          <w:marTop w:val="0"/>
                          <w:marBottom w:val="0"/>
                          <w:divBdr>
                            <w:top w:val="none" w:sz="0" w:space="0" w:color="auto"/>
                            <w:left w:val="none" w:sz="0" w:space="0" w:color="auto"/>
                            <w:bottom w:val="none" w:sz="0" w:space="0" w:color="auto"/>
                            <w:right w:val="none" w:sz="0" w:space="0" w:color="auto"/>
                          </w:divBdr>
                        </w:div>
                        <w:div w:id="1257900923">
                          <w:marLeft w:val="0"/>
                          <w:marRight w:val="0"/>
                          <w:marTop w:val="0"/>
                          <w:marBottom w:val="0"/>
                          <w:divBdr>
                            <w:top w:val="none" w:sz="0" w:space="0" w:color="auto"/>
                            <w:left w:val="none" w:sz="0" w:space="0" w:color="auto"/>
                            <w:bottom w:val="none" w:sz="0" w:space="0" w:color="auto"/>
                            <w:right w:val="none" w:sz="0" w:space="0" w:color="auto"/>
                          </w:divBdr>
                        </w:div>
                        <w:div w:id="1901793873">
                          <w:marLeft w:val="0"/>
                          <w:marRight w:val="0"/>
                          <w:marTop w:val="0"/>
                          <w:marBottom w:val="0"/>
                          <w:divBdr>
                            <w:top w:val="none" w:sz="0" w:space="0" w:color="auto"/>
                            <w:left w:val="none" w:sz="0" w:space="0" w:color="auto"/>
                            <w:bottom w:val="none" w:sz="0" w:space="0" w:color="auto"/>
                            <w:right w:val="none" w:sz="0" w:space="0" w:color="auto"/>
                          </w:divBdr>
                        </w:div>
                        <w:div w:id="1926182856">
                          <w:marLeft w:val="0"/>
                          <w:marRight w:val="0"/>
                          <w:marTop w:val="0"/>
                          <w:marBottom w:val="0"/>
                          <w:divBdr>
                            <w:top w:val="none" w:sz="0" w:space="0" w:color="auto"/>
                            <w:left w:val="none" w:sz="0" w:space="0" w:color="auto"/>
                            <w:bottom w:val="none" w:sz="0" w:space="0" w:color="auto"/>
                            <w:right w:val="none" w:sz="0" w:space="0" w:color="auto"/>
                          </w:divBdr>
                        </w:div>
                      </w:divsChild>
                    </w:div>
                    <w:div w:id="2062829715">
                      <w:marLeft w:val="0"/>
                      <w:marRight w:val="0"/>
                      <w:marTop w:val="0"/>
                      <w:marBottom w:val="0"/>
                      <w:divBdr>
                        <w:top w:val="none" w:sz="0" w:space="0" w:color="auto"/>
                        <w:left w:val="none" w:sz="0" w:space="0" w:color="auto"/>
                        <w:bottom w:val="none" w:sz="0" w:space="0" w:color="auto"/>
                        <w:right w:val="none" w:sz="0" w:space="0" w:color="auto"/>
                      </w:divBdr>
                      <w:divsChild>
                        <w:div w:id="246889795">
                          <w:marLeft w:val="0"/>
                          <w:marRight w:val="0"/>
                          <w:marTop w:val="0"/>
                          <w:marBottom w:val="0"/>
                          <w:divBdr>
                            <w:top w:val="none" w:sz="0" w:space="0" w:color="auto"/>
                            <w:left w:val="none" w:sz="0" w:space="0" w:color="auto"/>
                            <w:bottom w:val="none" w:sz="0" w:space="0" w:color="auto"/>
                            <w:right w:val="none" w:sz="0" w:space="0" w:color="auto"/>
                          </w:divBdr>
                        </w:div>
                        <w:div w:id="1136682061">
                          <w:marLeft w:val="0"/>
                          <w:marRight w:val="0"/>
                          <w:marTop w:val="0"/>
                          <w:marBottom w:val="0"/>
                          <w:divBdr>
                            <w:top w:val="none" w:sz="0" w:space="0" w:color="auto"/>
                            <w:left w:val="none" w:sz="0" w:space="0" w:color="auto"/>
                            <w:bottom w:val="none" w:sz="0" w:space="0" w:color="auto"/>
                            <w:right w:val="none" w:sz="0" w:space="0" w:color="auto"/>
                          </w:divBdr>
                        </w:div>
                        <w:div w:id="1615593994">
                          <w:marLeft w:val="0"/>
                          <w:marRight w:val="0"/>
                          <w:marTop w:val="0"/>
                          <w:marBottom w:val="0"/>
                          <w:divBdr>
                            <w:top w:val="none" w:sz="0" w:space="0" w:color="auto"/>
                            <w:left w:val="none" w:sz="0" w:space="0" w:color="auto"/>
                            <w:bottom w:val="none" w:sz="0" w:space="0" w:color="auto"/>
                            <w:right w:val="none" w:sz="0" w:space="0" w:color="auto"/>
                          </w:divBdr>
                        </w:div>
                      </w:divsChild>
                    </w:div>
                    <w:div w:id="2070808526">
                      <w:marLeft w:val="0"/>
                      <w:marRight w:val="0"/>
                      <w:marTop w:val="0"/>
                      <w:marBottom w:val="0"/>
                      <w:divBdr>
                        <w:top w:val="none" w:sz="0" w:space="0" w:color="auto"/>
                        <w:left w:val="none" w:sz="0" w:space="0" w:color="auto"/>
                        <w:bottom w:val="none" w:sz="0" w:space="0" w:color="auto"/>
                        <w:right w:val="none" w:sz="0" w:space="0" w:color="auto"/>
                      </w:divBdr>
                      <w:divsChild>
                        <w:div w:id="139520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1145200659">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2649">
      <w:bodyDiv w:val="1"/>
      <w:marLeft w:val="0"/>
      <w:marRight w:val="0"/>
      <w:marTop w:val="0"/>
      <w:marBottom w:val="0"/>
      <w:divBdr>
        <w:top w:val="none" w:sz="0" w:space="0" w:color="auto"/>
        <w:left w:val="none" w:sz="0" w:space="0" w:color="auto"/>
        <w:bottom w:val="none" w:sz="0" w:space="0" w:color="auto"/>
        <w:right w:val="none" w:sz="0" w:space="0" w:color="auto"/>
      </w:divBdr>
    </w:div>
    <w:div w:id="1286154546">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383724">
      <w:bodyDiv w:val="1"/>
      <w:marLeft w:val="0"/>
      <w:marRight w:val="0"/>
      <w:marTop w:val="0"/>
      <w:marBottom w:val="0"/>
      <w:divBdr>
        <w:top w:val="none" w:sz="0" w:space="0" w:color="auto"/>
        <w:left w:val="none" w:sz="0" w:space="0" w:color="auto"/>
        <w:bottom w:val="none" w:sz="0" w:space="0" w:color="auto"/>
        <w:right w:val="none" w:sz="0" w:space="0" w:color="auto"/>
      </w:divBdr>
    </w:div>
    <w:div w:id="1342584793">
      <w:bodyDiv w:val="1"/>
      <w:marLeft w:val="0"/>
      <w:marRight w:val="0"/>
      <w:marTop w:val="0"/>
      <w:marBottom w:val="0"/>
      <w:divBdr>
        <w:top w:val="none" w:sz="0" w:space="0" w:color="auto"/>
        <w:left w:val="none" w:sz="0" w:space="0" w:color="auto"/>
        <w:bottom w:val="none" w:sz="0" w:space="0" w:color="auto"/>
        <w:right w:val="none" w:sz="0" w:space="0" w:color="auto"/>
      </w:divBdr>
    </w:div>
    <w:div w:id="1375929301">
      <w:bodyDiv w:val="1"/>
      <w:marLeft w:val="0"/>
      <w:marRight w:val="0"/>
      <w:marTop w:val="0"/>
      <w:marBottom w:val="0"/>
      <w:divBdr>
        <w:top w:val="none" w:sz="0" w:space="0" w:color="auto"/>
        <w:left w:val="none" w:sz="0" w:space="0" w:color="auto"/>
        <w:bottom w:val="none" w:sz="0" w:space="0" w:color="auto"/>
        <w:right w:val="none" w:sz="0" w:space="0" w:color="auto"/>
      </w:divBdr>
    </w:div>
    <w:div w:id="1394966156">
      <w:bodyDiv w:val="1"/>
      <w:marLeft w:val="0"/>
      <w:marRight w:val="0"/>
      <w:marTop w:val="0"/>
      <w:marBottom w:val="0"/>
      <w:divBdr>
        <w:top w:val="none" w:sz="0" w:space="0" w:color="auto"/>
        <w:left w:val="none" w:sz="0" w:space="0" w:color="auto"/>
        <w:bottom w:val="none" w:sz="0" w:space="0" w:color="auto"/>
        <w:right w:val="none" w:sz="0" w:space="0" w:color="auto"/>
      </w:divBdr>
    </w:div>
    <w:div w:id="1445877792">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78597526">
      <w:bodyDiv w:val="1"/>
      <w:marLeft w:val="0"/>
      <w:marRight w:val="0"/>
      <w:marTop w:val="0"/>
      <w:marBottom w:val="0"/>
      <w:divBdr>
        <w:top w:val="none" w:sz="0" w:space="0" w:color="auto"/>
        <w:left w:val="none" w:sz="0" w:space="0" w:color="auto"/>
        <w:bottom w:val="none" w:sz="0" w:space="0" w:color="auto"/>
        <w:right w:val="none" w:sz="0" w:space="0" w:color="auto"/>
      </w:divBdr>
    </w:div>
    <w:div w:id="1937668433">
      <w:bodyDiv w:val="1"/>
      <w:marLeft w:val="0"/>
      <w:marRight w:val="0"/>
      <w:marTop w:val="0"/>
      <w:marBottom w:val="0"/>
      <w:divBdr>
        <w:top w:val="none" w:sz="0" w:space="0" w:color="auto"/>
        <w:left w:val="none" w:sz="0" w:space="0" w:color="auto"/>
        <w:bottom w:val="none" w:sz="0" w:space="0" w:color="auto"/>
        <w:right w:val="none" w:sz="0" w:space="0" w:color="auto"/>
      </w:divBdr>
      <w:divsChild>
        <w:div w:id="318651839">
          <w:marLeft w:val="0"/>
          <w:marRight w:val="0"/>
          <w:marTop w:val="0"/>
          <w:marBottom w:val="0"/>
          <w:divBdr>
            <w:top w:val="none" w:sz="0" w:space="0" w:color="auto"/>
            <w:left w:val="none" w:sz="0" w:space="0" w:color="auto"/>
            <w:bottom w:val="none" w:sz="0" w:space="0" w:color="auto"/>
            <w:right w:val="none" w:sz="0" w:space="0" w:color="auto"/>
          </w:divBdr>
          <w:divsChild>
            <w:div w:id="916860812">
              <w:marLeft w:val="0"/>
              <w:marRight w:val="0"/>
              <w:marTop w:val="0"/>
              <w:marBottom w:val="0"/>
              <w:divBdr>
                <w:top w:val="none" w:sz="0" w:space="0" w:color="auto"/>
                <w:left w:val="none" w:sz="0" w:space="0" w:color="auto"/>
                <w:bottom w:val="none" w:sz="0" w:space="0" w:color="auto"/>
                <w:right w:val="none" w:sz="0" w:space="0" w:color="auto"/>
              </w:divBdr>
              <w:divsChild>
                <w:div w:id="397557716">
                  <w:marLeft w:val="0"/>
                  <w:marRight w:val="0"/>
                  <w:marTop w:val="0"/>
                  <w:marBottom w:val="0"/>
                  <w:divBdr>
                    <w:top w:val="none" w:sz="0" w:space="0" w:color="auto"/>
                    <w:left w:val="none" w:sz="0" w:space="0" w:color="auto"/>
                    <w:bottom w:val="none" w:sz="0" w:space="0" w:color="auto"/>
                    <w:right w:val="none" w:sz="0" w:space="0" w:color="auto"/>
                  </w:divBdr>
                  <w:divsChild>
                    <w:div w:id="86192761">
                      <w:marLeft w:val="0"/>
                      <w:marRight w:val="0"/>
                      <w:marTop w:val="0"/>
                      <w:marBottom w:val="0"/>
                      <w:divBdr>
                        <w:top w:val="none" w:sz="0" w:space="0" w:color="auto"/>
                        <w:left w:val="none" w:sz="0" w:space="0" w:color="auto"/>
                        <w:bottom w:val="none" w:sz="0" w:space="0" w:color="auto"/>
                        <w:right w:val="none" w:sz="0" w:space="0" w:color="auto"/>
                      </w:divBdr>
                      <w:divsChild>
                        <w:div w:id="77603448">
                          <w:marLeft w:val="0"/>
                          <w:marRight w:val="0"/>
                          <w:marTop w:val="0"/>
                          <w:marBottom w:val="0"/>
                          <w:divBdr>
                            <w:top w:val="none" w:sz="0" w:space="0" w:color="auto"/>
                            <w:left w:val="none" w:sz="0" w:space="0" w:color="auto"/>
                            <w:bottom w:val="none" w:sz="0" w:space="0" w:color="auto"/>
                            <w:right w:val="none" w:sz="0" w:space="0" w:color="auto"/>
                          </w:divBdr>
                        </w:div>
                        <w:div w:id="1909999931">
                          <w:marLeft w:val="0"/>
                          <w:marRight w:val="0"/>
                          <w:marTop w:val="0"/>
                          <w:marBottom w:val="0"/>
                          <w:divBdr>
                            <w:top w:val="none" w:sz="0" w:space="0" w:color="auto"/>
                            <w:left w:val="none" w:sz="0" w:space="0" w:color="auto"/>
                            <w:bottom w:val="none" w:sz="0" w:space="0" w:color="auto"/>
                            <w:right w:val="none" w:sz="0" w:space="0" w:color="auto"/>
                          </w:divBdr>
                        </w:div>
                      </w:divsChild>
                    </w:div>
                    <w:div w:id="210581499">
                      <w:marLeft w:val="0"/>
                      <w:marRight w:val="0"/>
                      <w:marTop w:val="0"/>
                      <w:marBottom w:val="0"/>
                      <w:divBdr>
                        <w:top w:val="none" w:sz="0" w:space="0" w:color="auto"/>
                        <w:left w:val="none" w:sz="0" w:space="0" w:color="auto"/>
                        <w:bottom w:val="none" w:sz="0" w:space="0" w:color="auto"/>
                        <w:right w:val="none" w:sz="0" w:space="0" w:color="auto"/>
                      </w:divBdr>
                      <w:divsChild>
                        <w:div w:id="1832679326">
                          <w:marLeft w:val="0"/>
                          <w:marRight w:val="0"/>
                          <w:marTop w:val="0"/>
                          <w:marBottom w:val="0"/>
                          <w:divBdr>
                            <w:top w:val="none" w:sz="0" w:space="0" w:color="auto"/>
                            <w:left w:val="none" w:sz="0" w:space="0" w:color="auto"/>
                            <w:bottom w:val="none" w:sz="0" w:space="0" w:color="auto"/>
                            <w:right w:val="none" w:sz="0" w:space="0" w:color="auto"/>
                          </w:divBdr>
                        </w:div>
                      </w:divsChild>
                    </w:div>
                    <w:div w:id="240332270">
                      <w:marLeft w:val="0"/>
                      <w:marRight w:val="0"/>
                      <w:marTop w:val="0"/>
                      <w:marBottom w:val="0"/>
                      <w:divBdr>
                        <w:top w:val="none" w:sz="0" w:space="0" w:color="auto"/>
                        <w:left w:val="none" w:sz="0" w:space="0" w:color="auto"/>
                        <w:bottom w:val="none" w:sz="0" w:space="0" w:color="auto"/>
                        <w:right w:val="none" w:sz="0" w:space="0" w:color="auto"/>
                      </w:divBdr>
                      <w:divsChild>
                        <w:div w:id="920528909">
                          <w:marLeft w:val="0"/>
                          <w:marRight w:val="0"/>
                          <w:marTop w:val="0"/>
                          <w:marBottom w:val="0"/>
                          <w:divBdr>
                            <w:top w:val="none" w:sz="0" w:space="0" w:color="auto"/>
                            <w:left w:val="none" w:sz="0" w:space="0" w:color="auto"/>
                            <w:bottom w:val="none" w:sz="0" w:space="0" w:color="auto"/>
                            <w:right w:val="none" w:sz="0" w:space="0" w:color="auto"/>
                          </w:divBdr>
                        </w:div>
                        <w:div w:id="1566988806">
                          <w:marLeft w:val="0"/>
                          <w:marRight w:val="0"/>
                          <w:marTop w:val="0"/>
                          <w:marBottom w:val="0"/>
                          <w:divBdr>
                            <w:top w:val="none" w:sz="0" w:space="0" w:color="auto"/>
                            <w:left w:val="none" w:sz="0" w:space="0" w:color="auto"/>
                            <w:bottom w:val="none" w:sz="0" w:space="0" w:color="auto"/>
                            <w:right w:val="none" w:sz="0" w:space="0" w:color="auto"/>
                          </w:divBdr>
                        </w:div>
                        <w:div w:id="1944603155">
                          <w:marLeft w:val="0"/>
                          <w:marRight w:val="0"/>
                          <w:marTop w:val="0"/>
                          <w:marBottom w:val="0"/>
                          <w:divBdr>
                            <w:top w:val="none" w:sz="0" w:space="0" w:color="auto"/>
                            <w:left w:val="none" w:sz="0" w:space="0" w:color="auto"/>
                            <w:bottom w:val="none" w:sz="0" w:space="0" w:color="auto"/>
                            <w:right w:val="none" w:sz="0" w:space="0" w:color="auto"/>
                          </w:divBdr>
                        </w:div>
                      </w:divsChild>
                    </w:div>
                    <w:div w:id="361321588">
                      <w:marLeft w:val="0"/>
                      <w:marRight w:val="0"/>
                      <w:marTop w:val="0"/>
                      <w:marBottom w:val="0"/>
                      <w:divBdr>
                        <w:top w:val="none" w:sz="0" w:space="0" w:color="auto"/>
                        <w:left w:val="none" w:sz="0" w:space="0" w:color="auto"/>
                        <w:bottom w:val="none" w:sz="0" w:space="0" w:color="auto"/>
                        <w:right w:val="none" w:sz="0" w:space="0" w:color="auto"/>
                      </w:divBdr>
                      <w:divsChild>
                        <w:div w:id="21824573">
                          <w:marLeft w:val="0"/>
                          <w:marRight w:val="0"/>
                          <w:marTop w:val="0"/>
                          <w:marBottom w:val="0"/>
                          <w:divBdr>
                            <w:top w:val="none" w:sz="0" w:space="0" w:color="auto"/>
                            <w:left w:val="none" w:sz="0" w:space="0" w:color="auto"/>
                            <w:bottom w:val="none" w:sz="0" w:space="0" w:color="auto"/>
                            <w:right w:val="none" w:sz="0" w:space="0" w:color="auto"/>
                          </w:divBdr>
                        </w:div>
                      </w:divsChild>
                    </w:div>
                    <w:div w:id="390622401">
                      <w:marLeft w:val="0"/>
                      <w:marRight w:val="0"/>
                      <w:marTop w:val="0"/>
                      <w:marBottom w:val="0"/>
                      <w:divBdr>
                        <w:top w:val="none" w:sz="0" w:space="0" w:color="auto"/>
                        <w:left w:val="none" w:sz="0" w:space="0" w:color="auto"/>
                        <w:bottom w:val="none" w:sz="0" w:space="0" w:color="auto"/>
                        <w:right w:val="none" w:sz="0" w:space="0" w:color="auto"/>
                      </w:divBdr>
                      <w:divsChild>
                        <w:div w:id="470904400">
                          <w:marLeft w:val="0"/>
                          <w:marRight w:val="0"/>
                          <w:marTop w:val="0"/>
                          <w:marBottom w:val="0"/>
                          <w:divBdr>
                            <w:top w:val="none" w:sz="0" w:space="0" w:color="auto"/>
                            <w:left w:val="none" w:sz="0" w:space="0" w:color="auto"/>
                            <w:bottom w:val="none" w:sz="0" w:space="0" w:color="auto"/>
                            <w:right w:val="none" w:sz="0" w:space="0" w:color="auto"/>
                          </w:divBdr>
                        </w:div>
                        <w:div w:id="517042698">
                          <w:marLeft w:val="0"/>
                          <w:marRight w:val="0"/>
                          <w:marTop w:val="0"/>
                          <w:marBottom w:val="0"/>
                          <w:divBdr>
                            <w:top w:val="none" w:sz="0" w:space="0" w:color="auto"/>
                            <w:left w:val="none" w:sz="0" w:space="0" w:color="auto"/>
                            <w:bottom w:val="none" w:sz="0" w:space="0" w:color="auto"/>
                            <w:right w:val="none" w:sz="0" w:space="0" w:color="auto"/>
                          </w:divBdr>
                        </w:div>
                      </w:divsChild>
                    </w:div>
                    <w:div w:id="465436867">
                      <w:marLeft w:val="0"/>
                      <w:marRight w:val="0"/>
                      <w:marTop w:val="0"/>
                      <w:marBottom w:val="0"/>
                      <w:divBdr>
                        <w:top w:val="none" w:sz="0" w:space="0" w:color="auto"/>
                        <w:left w:val="none" w:sz="0" w:space="0" w:color="auto"/>
                        <w:bottom w:val="none" w:sz="0" w:space="0" w:color="auto"/>
                        <w:right w:val="none" w:sz="0" w:space="0" w:color="auto"/>
                      </w:divBdr>
                      <w:divsChild>
                        <w:div w:id="359009268">
                          <w:marLeft w:val="0"/>
                          <w:marRight w:val="0"/>
                          <w:marTop w:val="0"/>
                          <w:marBottom w:val="0"/>
                          <w:divBdr>
                            <w:top w:val="none" w:sz="0" w:space="0" w:color="auto"/>
                            <w:left w:val="none" w:sz="0" w:space="0" w:color="auto"/>
                            <w:bottom w:val="none" w:sz="0" w:space="0" w:color="auto"/>
                            <w:right w:val="none" w:sz="0" w:space="0" w:color="auto"/>
                          </w:divBdr>
                        </w:div>
                        <w:div w:id="496262316">
                          <w:marLeft w:val="0"/>
                          <w:marRight w:val="0"/>
                          <w:marTop w:val="0"/>
                          <w:marBottom w:val="0"/>
                          <w:divBdr>
                            <w:top w:val="none" w:sz="0" w:space="0" w:color="auto"/>
                            <w:left w:val="none" w:sz="0" w:space="0" w:color="auto"/>
                            <w:bottom w:val="none" w:sz="0" w:space="0" w:color="auto"/>
                            <w:right w:val="none" w:sz="0" w:space="0" w:color="auto"/>
                          </w:divBdr>
                        </w:div>
                        <w:div w:id="501050573">
                          <w:marLeft w:val="0"/>
                          <w:marRight w:val="0"/>
                          <w:marTop w:val="0"/>
                          <w:marBottom w:val="0"/>
                          <w:divBdr>
                            <w:top w:val="none" w:sz="0" w:space="0" w:color="auto"/>
                            <w:left w:val="none" w:sz="0" w:space="0" w:color="auto"/>
                            <w:bottom w:val="none" w:sz="0" w:space="0" w:color="auto"/>
                            <w:right w:val="none" w:sz="0" w:space="0" w:color="auto"/>
                          </w:divBdr>
                        </w:div>
                        <w:div w:id="1729186001">
                          <w:marLeft w:val="0"/>
                          <w:marRight w:val="0"/>
                          <w:marTop w:val="0"/>
                          <w:marBottom w:val="0"/>
                          <w:divBdr>
                            <w:top w:val="none" w:sz="0" w:space="0" w:color="auto"/>
                            <w:left w:val="none" w:sz="0" w:space="0" w:color="auto"/>
                            <w:bottom w:val="none" w:sz="0" w:space="0" w:color="auto"/>
                            <w:right w:val="none" w:sz="0" w:space="0" w:color="auto"/>
                          </w:divBdr>
                        </w:div>
                        <w:div w:id="1823882812">
                          <w:marLeft w:val="0"/>
                          <w:marRight w:val="0"/>
                          <w:marTop w:val="0"/>
                          <w:marBottom w:val="0"/>
                          <w:divBdr>
                            <w:top w:val="none" w:sz="0" w:space="0" w:color="auto"/>
                            <w:left w:val="none" w:sz="0" w:space="0" w:color="auto"/>
                            <w:bottom w:val="none" w:sz="0" w:space="0" w:color="auto"/>
                            <w:right w:val="none" w:sz="0" w:space="0" w:color="auto"/>
                          </w:divBdr>
                        </w:div>
                      </w:divsChild>
                    </w:div>
                    <w:div w:id="589318929">
                      <w:marLeft w:val="0"/>
                      <w:marRight w:val="0"/>
                      <w:marTop w:val="0"/>
                      <w:marBottom w:val="0"/>
                      <w:divBdr>
                        <w:top w:val="none" w:sz="0" w:space="0" w:color="auto"/>
                        <w:left w:val="none" w:sz="0" w:space="0" w:color="auto"/>
                        <w:bottom w:val="none" w:sz="0" w:space="0" w:color="auto"/>
                        <w:right w:val="none" w:sz="0" w:space="0" w:color="auto"/>
                      </w:divBdr>
                      <w:divsChild>
                        <w:div w:id="1157838956">
                          <w:marLeft w:val="0"/>
                          <w:marRight w:val="0"/>
                          <w:marTop w:val="0"/>
                          <w:marBottom w:val="0"/>
                          <w:divBdr>
                            <w:top w:val="none" w:sz="0" w:space="0" w:color="auto"/>
                            <w:left w:val="none" w:sz="0" w:space="0" w:color="auto"/>
                            <w:bottom w:val="none" w:sz="0" w:space="0" w:color="auto"/>
                            <w:right w:val="none" w:sz="0" w:space="0" w:color="auto"/>
                          </w:divBdr>
                        </w:div>
                        <w:div w:id="1255434396">
                          <w:marLeft w:val="0"/>
                          <w:marRight w:val="0"/>
                          <w:marTop w:val="0"/>
                          <w:marBottom w:val="0"/>
                          <w:divBdr>
                            <w:top w:val="none" w:sz="0" w:space="0" w:color="auto"/>
                            <w:left w:val="none" w:sz="0" w:space="0" w:color="auto"/>
                            <w:bottom w:val="none" w:sz="0" w:space="0" w:color="auto"/>
                            <w:right w:val="none" w:sz="0" w:space="0" w:color="auto"/>
                          </w:divBdr>
                        </w:div>
                      </w:divsChild>
                    </w:div>
                    <w:div w:id="645473636">
                      <w:marLeft w:val="0"/>
                      <w:marRight w:val="0"/>
                      <w:marTop w:val="0"/>
                      <w:marBottom w:val="0"/>
                      <w:divBdr>
                        <w:top w:val="none" w:sz="0" w:space="0" w:color="auto"/>
                        <w:left w:val="none" w:sz="0" w:space="0" w:color="auto"/>
                        <w:bottom w:val="none" w:sz="0" w:space="0" w:color="auto"/>
                        <w:right w:val="none" w:sz="0" w:space="0" w:color="auto"/>
                      </w:divBdr>
                      <w:divsChild>
                        <w:div w:id="409887522">
                          <w:marLeft w:val="0"/>
                          <w:marRight w:val="0"/>
                          <w:marTop w:val="0"/>
                          <w:marBottom w:val="0"/>
                          <w:divBdr>
                            <w:top w:val="none" w:sz="0" w:space="0" w:color="auto"/>
                            <w:left w:val="none" w:sz="0" w:space="0" w:color="auto"/>
                            <w:bottom w:val="none" w:sz="0" w:space="0" w:color="auto"/>
                            <w:right w:val="none" w:sz="0" w:space="0" w:color="auto"/>
                          </w:divBdr>
                        </w:div>
                      </w:divsChild>
                    </w:div>
                    <w:div w:id="726874139">
                      <w:marLeft w:val="0"/>
                      <w:marRight w:val="0"/>
                      <w:marTop w:val="0"/>
                      <w:marBottom w:val="0"/>
                      <w:divBdr>
                        <w:top w:val="none" w:sz="0" w:space="0" w:color="auto"/>
                        <w:left w:val="none" w:sz="0" w:space="0" w:color="auto"/>
                        <w:bottom w:val="none" w:sz="0" w:space="0" w:color="auto"/>
                        <w:right w:val="none" w:sz="0" w:space="0" w:color="auto"/>
                      </w:divBdr>
                      <w:divsChild>
                        <w:div w:id="565189838">
                          <w:marLeft w:val="0"/>
                          <w:marRight w:val="0"/>
                          <w:marTop w:val="0"/>
                          <w:marBottom w:val="0"/>
                          <w:divBdr>
                            <w:top w:val="none" w:sz="0" w:space="0" w:color="auto"/>
                            <w:left w:val="none" w:sz="0" w:space="0" w:color="auto"/>
                            <w:bottom w:val="none" w:sz="0" w:space="0" w:color="auto"/>
                            <w:right w:val="none" w:sz="0" w:space="0" w:color="auto"/>
                          </w:divBdr>
                        </w:div>
                        <w:div w:id="2015722589">
                          <w:marLeft w:val="0"/>
                          <w:marRight w:val="0"/>
                          <w:marTop w:val="0"/>
                          <w:marBottom w:val="0"/>
                          <w:divBdr>
                            <w:top w:val="none" w:sz="0" w:space="0" w:color="auto"/>
                            <w:left w:val="none" w:sz="0" w:space="0" w:color="auto"/>
                            <w:bottom w:val="none" w:sz="0" w:space="0" w:color="auto"/>
                            <w:right w:val="none" w:sz="0" w:space="0" w:color="auto"/>
                          </w:divBdr>
                        </w:div>
                      </w:divsChild>
                    </w:div>
                    <w:div w:id="816459129">
                      <w:marLeft w:val="0"/>
                      <w:marRight w:val="0"/>
                      <w:marTop w:val="0"/>
                      <w:marBottom w:val="0"/>
                      <w:divBdr>
                        <w:top w:val="none" w:sz="0" w:space="0" w:color="auto"/>
                        <w:left w:val="none" w:sz="0" w:space="0" w:color="auto"/>
                        <w:bottom w:val="none" w:sz="0" w:space="0" w:color="auto"/>
                        <w:right w:val="none" w:sz="0" w:space="0" w:color="auto"/>
                      </w:divBdr>
                      <w:divsChild>
                        <w:div w:id="287248606">
                          <w:marLeft w:val="0"/>
                          <w:marRight w:val="0"/>
                          <w:marTop w:val="0"/>
                          <w:marBottom w:val="0"/>
                          <w:divBdr>
                            <w:top w:val="none" w:sz="0" w:space="0" w:color="auto"/>
                            <w:left w:val="none" w:sz="0" w:space="0" w:color="auto"/>
                            <w:bottom w:val="none" w:sz="0" w:space="0" w:color="auto"/>
                            <w:right w:val="none" w:sz="0" w:space="0" w:color="auto"/>
                          </w:divBdr>
                        </w:div>
                      </w:divsChild>
                    </w:div>
                    <w:div w:id="883712304">
                      <w:marLeft w:val="0"/>
                      <w:marRight w:val="0"/>
                      <w:marTop w:val="0"/>
                      <w:marBottom w:val="0"/>
                      <w:divBdr>
                        <w:top w:val="none" w:sz="0" w:space="0" w:color="auto"/>
                        <w:left w:val="none" w:sz="0" w:space="0" w:color="auto"/>
                        <w:bottom w:val="none" w:sz="0" w:space="0" w:color="auto"/>
                        <w:right w:val="none" w:sz="0" w:space="0" w:color="auto"/>
                      </w:divBdr>
                      <w:divsChild>
                        <w:div w:id="89395654">
                          <w:marLeft w:val="0"/>
                          <w:marRight w:val="0"/>
                          <w:marTop w:val="0"/>
                          <w:marBottom w:val="0"/>
                          <w:divBdr>
                            <w:top w:val="none" w:sz="0" w:space="0" w:color="auto"/>
                            <w:left w:val="none" w:sz="0" w:space="0" w:color="auto"/>
                            <w:bottom w:val="none" w:sz="0" w:space="0" w:color="auto"/>
                            <w:right w:val="none" w:sz="0" w:space="0" w:color="auto"/>
                          </w:divBdr>
                        </w:div>
                        <w:div w:id="392701365">
                          <w:marLeft w:val="0"/>
                          <w:marRight w:val="0"/>
                          <w:marTop w:val="0"/>
                          <w:marBottom w:val="0"/>
                          <w:divBdr>
                            <w:top w:val="none" w:sz="0" w:space="0" w:color="auto"/>
                            <w:left w:val="none" w:sz="0" w:space="0" w:color="auto"/>
                            <w:bottom w:val="none" w:sz="0" w:space="0" w:color="auto"/>
                            <w:right w:val="none" w:sz="0" w:space="0" w:color="auto"/>
                          </w:divBdr>
                        </w:div>
                        <w:div w:id="784428831">
                          <w:marLeft w:val="0"/>
                          <w:marRight w:val="0"/>
                          <w:marTop w:val="0"/>
                          <w:marBottom w:val="0"/>
                          <w:divBdr>
                            <w:top w:val="none" w:sz="0" w:space="0" w:color="auto"/>
                            <w:left w:val="none" w:sz="0" w:space="0" w:color="auto"/>
                            <w:bottom w:val="none" w:sz="0" w:space="0" w:color="auto"/>
                            <w:right w:val="none" w:sz="0" w:space="0" w:color="auto"/>
                          </w:divBdr>
                        </w:div>
                        <w:div w:id="1708487636">
                          <w:marLeft w:val="0"/>
                          <w:marRight w:val="0"/>
                          <w:marTop w:val="0"/>
                          <w:marBottom w:val="0"/>
                          <w:divBdr>
                            <w:top w:val="none" w:sz="0" w:space="0" w:color="auto"/>
                            <w:left w:val="none" w:sz="0" w:space="0" w:color="auto"/>
                            <w:bottom w:val="none" w:sz="0" w:space="0" w:color="auto"/>
                            <w:right w:val="none" w:sz="0" w:space="0" w:color="auto"/>
                          </w:divBdr>
                        </w:div>
                      </w:divsChild>
                    </w:div>
                    <w:div w:id="956250848">
                      <w:marLeft w:val="0"/>
                      <w:marRight w:val="0"/>
                      <w:marTop w:val="0"/>
                      <w:marBottom w:val="0"/>
                      <w:divBdr>
                        <w:top w:val="none" w:sz="0" w:space="0" w:color="auto"/>
                        <w:left w:val="none" w:sz="0" w:space="0" w:color="auto"/>
                        <w:bottom w:val="none" w:sz="0" w:space="0" w:color="auto"/>
                        <w:right w:val="none" w:sz="0" w:space="0" w:color="auto"/>
                      </w:divBdr>
                      <w:divsChild>
                        <w:div w:id="533618689">
                          <w:marLeft w:val="0"/>
                          <w:marRight w:val="0"/>
                          <w:marTop w:val="0"/>
                          <w:marBottom w:val="0"/>
                          <w:divBdr>
                            <w:top w:val="none" w:sz="0" w:space="0" w:color="auto"/>
                            <w:left w:val="none" w:sz="0" w:space="0" w:color="auto"/>
                            <w:bottom w:val="none" w:sz="0" w:space="0" w:color="auto"/>
                            <w:right w:val="none" w:sz="0" w:space="0" w:color="auto"/>
                          </w:divBdr>
                        </w:div>
                        <w:div w:id="594048080">
                          <w:marLeft w:val="0"/>
                          <w:marRight w:val="0"/>
                          <w:marTop w:val="0"/>
                          <w:marBottom w:val="0"/>
                          <w:divBdr>
                            <w:top w:val="none" w:sz="0" w:space="0" w:color="auto"/>
                            <w:left w:val="none" w:sz="0" w:space="0" w:color="auto"/>
                            <w:bottom w:val="none" w:sz="0" w:space="0" w:color="auto"/>
                            <w:right w:val="none" w:sz="0" w:space="0" w:color="auto"/>
                          </w:divBdr>
                        </w:div>
                        <w:div w:id="935207549">
                          <w:marLeft w:val="0"/>
                          <w:marRight w:val="0"/>
                          <w:marTop w:val="0"/>
                          <w:marBottom w:val="0"/>
                          <w:divBdr>
                            <w:top w:val="none" w:sz="0" w:space="0" w:color="auto"/>
                            <w:left w:val="none" w:sz="0" w:space="0" w:color="auto"/>
                            <w:bottom w:val="none" w:sz="0" w:space="0" w:color="auto"/>
                            <w:right w:val="none" w:sz="0" w:space="0" w:color="auto"/>
                          </w:divBdr>
                        </w:div>
                      </w:divsChild>
                    </w:div>
                    <w:div w:id="1059136081">
                      <w:marLeft w:val="0"/>
                      <w:marRight w:val="0"/>
                      <w:marTop w:val="0"/>
                      <w:marBottom w:val="0"/>
                      <w:divBdr>
                        <w:top w:val="none" w:sz="0" w:space="0" w:color="auto"/>
                        <w:left w:val="none" w:sz="0" w:space="0" w:color="auto"/>
                        <w:bottom w:val="none" w:sz="0" w:space="0" w:color="auto"/>
                        <w:right w:val="none" w:sz="0" w:space="0" w:color="auto"/>
                      </w:divBdr>
                      <w:divsChild>
                        <w:div w:id="1250458961">
                          <w:marLeft w:val="0"/>
                          <w:marRight w:val="0"/>
                          <w:marTop w:val="0"/>
                          <w:marBottom w:val="0"/>
                          <w:divBdr>
                            <w:top w:val="none" w:sz="0" w:space="0" w:color="auto"/>
                            <w:left w:val="none" w:sz="0" w:space="0" w:color="auto"/>
                            <w:bottom w:val="none" w:sz="0" w:space="0" w:color="auto"/>
                            <w:right w:val="none" w:sz="0" w:space="0" w:color="auto"/>
                          </w:divBdr>
                        </w:div>
                      </w:divsChild>
                    </w:div>
                    <w:div w:id="1077560707">
                      <w:marLeft w:val="0"/>
                      <w:marRight w:val="0"/>
                      <w:marTop w:val="0"/>
                      <w:marBottom w:val="0"/>
                      <w:divBdr>
                        <w:top w:val="none" w:sz="0" w:space="0" w:color="auto"/>
                        <w:left w:val="none" w:sz="0" w:space="0" w:color="auto"/>
                        <w:bottom w:val="none" w:sz="0" w:space="0" w:color="auto"/>
                        <w:right w:val="none" w:sz="0" w:space="0" w:color="auto"/>
                      </w:divBdr>
                      <w:divsChild>
                        <w:div w:id="429475830">
                          <w:marLeft w:val="0"/>
                          <w:marRight w:val="0"/>
                          <w:marTop w:val="0"/>
                          <w:marBottom w:val="0"/>
                          <w:divBdr>
                            <w:top w:val="none" w:sz="0" w:space="0" w:color="auto"/>
                            <w:left w:val="none" w:sz="0" w:space="0" w:color="auto"/>
                            <w:bottom w:val="none" w:sz="0" w:space="0" w:color="auto"/>
                            <w:right w:val="none" w:sz="0" w:space="0" w:color="auto"/>
                          </w:divBdr>
                        </w:div>
                      </w:divsChild>
                    </w:div>
                    <w:div w:id="1274946289">
                      <w:marLeft w:val="0"/>
                      <w:marRight w:val="0"/>
                      <w:marTop w:val="0"/>
                      <w:marBottom w:val="0"/>
                      <w:divBdr>
                        <w:top w:val="none" w:sz="0" w:space="0" w:color="auto"/>
                        <w:left w:val="none" w:sz="0" w:space="0" w:color="auto"/>
                        <w:bottom w:val="none" w:sz="0" w:space="0" w:color="auto"/>
                        <w:right w:val="none" w:sz="0" w:space="0" w:color="auto"/>
                      </w:divBdr>
                      <w:divsChild>
                        <w:div w:id="948120284">
                          <w:marLeft w:val="0"/>
                          <w:marRight w:val="0"/>
                          <w:marTop w:val="0"/>
                          <w:marBottom w:val="0"/>
                          <w:divBdr>
                            <w:top w:val="none" w:sz="0" w:space="0" w:color="auto"/>
                            <w:left w:val="none" w:sz="0" w:space="0" w:color="auto"/>
                            <w:bottom w:val="none" w:sz="0" w:space="0" w:color="auto"/>
                            <w:right w:val="none" w:sz="0" w:space="0" w:color="auto"/>
                          </w:divBdr>
                        </w:div>
                        <w:div w:id="1304965660">
                          <w:marLeft w:val="0"/>
                          <w:marRight w:val="0"/>
                          <w:marTop w:val="0"/>
                          <w:marBottom w:val="0"/>
                          <w:divBdr>
                            <w:top w:val="none" w:sz="0" w:space="0" w:color="auto"/>
                            <w:left w:val="none" w:sz="0" w:space="0" w:color="auto"/>
                            <w:bottom w:val="none" w:sz="0" w:space="0" w:color="auto"/>
                            <w:right w:val="none" w:sz="0" w:space="0" w:color="auto"/>
                          </w:divBdr>
                        </w:div>
                        <w:div w:id="1750806867">
                          <w:marLeft w:val="0"/>
                          <w:marRight w:val="0"/>
                          <w:marTop w:val="0"/>
                          <w:marBottom w:val="0"/>
                          <w:divBdr>
                            <w:top w:val="none" w:sz="0" w:space="0" w:color="auto"/>
                            <w:left w:val="none" w:sz="0" w:space="0" w:color="auto"/>
                            <w:bottom w:val="none" w:sz="0" w:space="0" w:color="auto"/>
                            <w:right w:val="none" w:sz="0" w:space="0" w:color="auto"/>
                          </w:divBdr>
                        </w:div>
                      </w:divsChild>
                    </w:div>
                    <w:div w:id="1341733592">
                      <w:marLeft w:val="0"/>
                      <w:marRight w:val="0"/>
                      <w:marTop w:val="0"/>
                      <w:marBottom w:val="0"/>
                      <w:divBdr>
                        <w:top w:val="none" w:sz="0" w:space="0" w:color="auto"/>
                        <w:left w:val="none" w:sz="0" w:space="0" w:color="auto"/>
                        <w:bottom w:val="none" w:sz="0" w:space="0" w:color="auto"/>
                        <w:right w:val="none" w:sz="0" w:space="0" w:color="auto"/>
                      </w:divBdr>
                      <w:divsChild>
                        <w:div w:id="681325393">
                          <w:marLeft w:val="0"/>
                          <w:marRight w:val="0"/>
                          <w:marTop w:val="0"/>
                          <w:marBottom w:val="0"/>
                          <w:divBdr>
                            <w:top w:val="none" w:sz="0" w:space="0" w:color="auto"/>
                            <w:left w:val="none" w:sz="0" w:space="0" w:color="auto"/>
                            <w:bottom w:val="none" w:sz="0" w:space="0" w:color="auto"/>
                            <w:right w:val="none" w:sz="0" w:space="0" w:color="auto"/>
                          </w:divBdr>
                        </w:div>
                      </w:divsChild>
                    </w:div>
                    <w:div w:id="1436057129">
                      <w:marLeft w:val="0"/>
                      <w:marRight w:val="0"/>
                      <w:marTop w:val="0"/>
                      <w:marBottom w:val="0"/>
                      <w:divBdr>
                        <w:top w:val="none" w:sz="0" w:space="0" w:color="auto"/>
                        <w:left w:val="none" w:sz="0" w:space="0" w:color="auto"/>
                        <w:bottom w:val="none" w:sz="0" w:space="0" w:color="auto"/>
                        <w:right w:val="none" w:sz="0" w:space="0" w:color="auto"/>
                      </w:divBdr>
                      <w:divsChild>
                        <w:div w:id="103774485">
                          <w:marLeft w:val="0"/>
                          <w:marRight w:val="0"/>
                          <w:marTop w:val="0"/>
                          <w:marBottom w:val="0"/>
                          <w:divBdr>
                            <w:top w:val="none" w:sz="0" w:space="0" w:color="auto"/>
                            <w:left w:val="none" w:sz="0" w:space="0" w:color="auto"/>
                            <w:bottom w:val="none" w:sz="0" w:space="0" w:color="auto"/>
                            <w:right w:val="none" w:sz="0" w:space="0" w:color="auto"/>
                          </w:divBdr>
                        </w:div>
                      </w:divsChild>
                    </w:div>
                    <w:div w:id="1460145950">
                      <w:marLeft w:val="0"/>
                      <w:marRight w:val="0"/>
                      <w:marTop w:val="0"/>
                      <w:marBottom w:val="0"/>
                      <w:divBdr>
                        <w:top w:val="none" w:sz="0" w:space="0" w:color="auto"/>
                        <w:left w:val="none" w:sz="0" w:space="0" w:color="auto"/>
                        <w:bottom w:val="none" w:sz="0" w:space="0" w:color="auto"/>
                        <w:right w:val="none" w:sz="0" w:space="0" w:color="auto"/>
                      </w:divBdr>
                      <w:divsChild>
                        <w:div w:id="1300915336">
                          <w:marLeft w:val="0"/>
                          <w:marRight w:val="0"/>
                          <w:marTop w:val="0"/>
                          <w:marBottom w:val="0"/>
                          <w:divBdr>
                            <w:top w:val="none" w:sz="0" w:space="0" w:color="auto"/>
                            <w:left w:val="none" w:sz="0" w:space="0" w:color="auto"/>
                            <w:bottom w:val="none" w:sz="0" w:space="0" w:color="auto"/>
                            <w:right w:val="none" w:sz="0" w:space="0" w:color="auto"/>
                          </w:divBdr>
                        </w:div>
                        <w:div w:id="1639072872">
                          <w:marLeft w:val="0"/>
                          <w:marRight w:val="0"/>
                          <w:marTop w:val="0"/>
                          <w:marBottom w:val="0"/>
                          <w:divBdr>
                            <w:top w:val="none" w:sz="0" w:space="0" w:color="auto"/>
                            <w:left w:val="none" w:sz="0" w:space="0" w:color="auto"/>
                            <w:bottom w:val="none" w:sz="0" w:space="0" w:color="auto"/>
                            <w:right w:val="none" w:sz="0" w:space="0" w:color="auto"/>
                          </w:divBdr>
                        </w:div>
                        <w:div w:id="1727026815">
                          <w:marLeft w:val="0"/>
                          <w:marRight w:val="0"/>
                          <w:marTop w:val="0"/>
                          <w:marBottom w:val="0"/>
                          <w:divBdr>
                            <w:top w:val="none" w:sz="0" w:space="0" w:color="auto"/>
                            <w:left w:val="none" w:sz="0" w:space="0" w:color="auto"/>
                            <w:bottom w:val="none" w:sz="0" w:space="0" w:color="auto"/>
                            <w:right w:val="none" w:sz="0" w:space="0" w:color="auto"/>
                          </w:divBdr>
                        </w:div>
                      </w:divsChild>
                    </w:div>
                    <w:div w:id="1476683127">
                      <w:marLeft w:val="0"/>
                      <w:marRight w:val="0"/>
                      <w:marTop w:val="0"/>
                      <w:marBottom w:val="0"/>
                      <w:divBdr>
                        <w:top w:val="none" w:sz="0" w:space="0" w:color="auto"/>
                        <w:left w:val="none" w:sz="0" w:space="0" w:color="auto"/>
                        <w:bottom w:val="none" w:sz="0" w:space="0" w:color="auto"/>
                        <w:right w:val="none" w:sz="0" w:space="0" w:color="auto"/>
                      </w:divBdr>
                      <w:divsChild>
                        <w:div w:id="138228211">
                          <w:marLeft w:val="0"/>
                          <w:marRight w:val="0"/>
                          <w:marTop w:val="0"/>
                          <w:marBottom w:val="0"/>
                          <w:divBdr>
                            <w:top w:val="none" w:sz="0" w:space="0" w:color="auto"/>
                            <w:left w:val="none" w:sz="0" w:space="0" w:color="auto"/>
                            <w:bottom w:val="none" w:sz="0" w:space="0" w:color="auto"/>
                            <w:right w:val="none" w:sz="0" w:space="0" w:color="auto"/>
                          </w:divBdr>
                        </w:div>
                        <w:div w:id="347492304">
                          <w:marLeft w:val="0"/>
                          <w:marRight w:val="0"/>
                          <w:marTop w:val="0"/>
                          <w:marBottom w:val="0"/>
                          <w:divBdr>
                            <w:top w:val="none" w:sz="0" w:space="0" w:color="auto"/>
                            <w:left w:val="none" w:sz="0" w:space="0" w:color="auto"/>
                            <w:bottom w:val="none" w:sz="0" w:space="0" w:color="auto"/>
                            <w:right w:val="none" w:sz="0" w:space="0" w:color="auto"/>
                          </w:divBdr>
                        </w:div>
                        <w:div w:id="510339340">
                          <w:marLeft w:val="0"/>
                          <w:marRight w:val="0"/>
                          <w:marTop w:val="0"/>
                          <w:marBottom w:val="0"/>
                          <w:divBdr>
                            <w:top w:val="none" w:sz="0" w:space="0" w:color="auto"/>
                            <w:left w:val="none" w:sz="0" w:space="0" w:color="auto"/>
                            <w:bottom w:val="none" w:sz="0" w:space="0" w:color="auto"/>
                            <w:right w:val="none" w:sz="0" w:space="0" w:color="auto"/>
                          </w:divBdr>
                        </w:div>
                        <w:div w:id="638917157">
                          <w:marLeft w:val="0"/>
                          <w:marRight w:val="0"/>
                          <w:marTop w:val="0"/>
                          <w:marBottom w:val="0"/>
                          <w:divBdr>
                            <w:top w:val="none" w:sz="0" w:space="0" w:color="auto"/>
                            <w:left w:val="none" w:sz="0" w:space="0" w:color="auto"/>
                            <w:bottom w:val="none" w:sz="0" w:space="0" w:color="auto"/>
                            <w:right w:val="none" w:sz="0" w:space="0" w:color="auto"/>
                          </w:divBdr>
                        </w:div>
                        <w:div w:id="1323776601">
                          <w:marLeft w:val="0"/>
                          <w:marRight w:val="0"/>
                          <w:marTop w:val="0"/>
                          <w:marBottom w:val="0"/>
                          <w:divBdr>
                            <w:top w:val="none" w:sz="0" w:space="0" w:color="auto"/>
                            <w:left w:val="none" w:sz="0" w:space="0" w:color="auto"/>
                            <w:bottom w:val="none" w:sz="0" w:space="0" w:color="auto"/>
                            <w:right w:val="none" w:sz="0" w:space="0" w:color="auto"/>
                          </w:divBdr>
                        </w:div>
                        <w:div w:id="1852181512">
                          <w:marLeft w:val="0"/>
                          <w:marRight w:val="0"/>
                          <w:marTop w:val="0"/>
                          <w:marBottom w:val="0"/>
                          <w:divBdr>
                            <w:top w:val="none" w:sz="0" w:space="0" w:color="auto"/>
                            <w:left w:val="none" w:sz="0" w:space="0" w:color="auto"/>
                            <w:bottom w:val="none" w:sz="0" w:space="0" w:color="auto"/>
                            <w:right w:val="none" w:sz="0" w:space="0" w:color="auto"/>
                          </w:divBdr>
                        </w:div>
                        <w:div w:id="1860388519">
                          <w:marLeft w:val="0"/>
                          <w:marRight w:val="0"/>
                          <w:marTop w:val="0"/>
                          <w:marBottom w:val="0"/>
                          <w:divBdr>
                            <w:top w:val="none" w:sz="0" w:space="0" w:color="auto"/>
                            <w:left w:val="none" w:sz="0" w:space="0" w:color="auto"/>
                            <w:bottom w:val="none" w:sz="0" w:space="0" w:color="auto"/>
                            <w:right w:val="none" w:sz="0" w:space="0" w:color="auto"/>
                          </w:divBdr>
                        </w:div>
                        <w:div w:id="1896234501">
                          <w:marLeft w:val="0"/>
                          <w:marRight w:val="0"/>
                          <w:marTop w:val="0"/>
                          <w:marBottom w:val="0"/>
                          <w:divBdr>
                            <w:top w:val="none" w:sz="0" w:space="0" w:color="auto"/>
                            <w:left w:val="none" w:sz="0" w:space="0" w:color="auto"/>
                            <w:bottom w:val="none" w:sz="0" w:space="0" w:color="auto"/>
                            <w:right w:val="none" w:sz="0" w:space="0" w:color="auto"/>
                          </w:divBdr>
                        </w:div>
                        <w:div w:id="1947999320">
                          <w:marLeft w:val="0"/>
                          <w:marRight w:val="0"/>
                          <w:marTop w:val="0"/>
                          <w:marBottom w:val="0"/>
                          <w:divBdr>
                            <w:top w:val="none" w:sz="0" w:space="0" w:color="auto"/>
                            <w:left w:val="none" w:sz="0" w:space="0" w:color="auto"/>
                            <w:bottom w:val="none" w:sz="0" w:space="0" w:color="auto"/>
                            <w:right w:val="none" w:sz="0" w:space="0" w:color="auto"/>
                          </w:divBdr>
                        </w:div>
                        <w:div w:id="1952660168">
                          <w:marLeft w:val="0"/>
                          <w:marRight w:val="0"/>
                          <w:marTop w:val="0"/>
                          <w:marBottom w:val="0"/>
                          <w:divBdr>
                            <w:top w:val="none" w:sz="0" w:space="0" w:color="auto"/>
                            <w:left w:val="none" w:sz="0" w:space="0" w:color="auto"/>
                            <w:bottom w:val="none" w:sz="0" w:space="0" w:color="auto"/>
                            <w:right w:val="none" w:sz="0" w:space="0" w:color="auto"/>
                          </w:divBdr>
                        </w:div>
                      </w:divsChild>
                    </w:div>
                    <w:div w:id="1531798638">
                      <w:marLeft w:val="0"/>
                      <w:marRight w:val="0"/>
                      <w:marTop w:val="0"/>
                      <w:marBottom w:val="0"/>
                      <w:divBdr>
                        <w:top w:val="none" w:sz="0" w:space="0" w:color="auto"/>
                        <w:left w:val="none" w:sz="0" w:space="0" w:color="auto"/>
                        <w:bottom w:val="none" w:sz="0" w:space="0" w:color="auto"/>
                        <w:right w:val="none" w:sz="0" w:space="0" w:color="auto"/>
                      </w:divBdr>
                      <w:divsChild>
                        <w:div w:id="577635147">
                          <w:marLeft w:val="0"/>
                          <w:marRight w:val="0"/>
                          <w:marTop w:val="0"/>
                          <w:marBottom w:val="0"/>
                          <w:divBdr>
                            <w:top w:val="none" w:sz="0" w:space="0" w:color="auto"/>
                            <w:left w:val="none" w:sz="0" w:space="0" w:color="auto"/>
                            <w:bottom w:val="none" w:sz="0" w:space="0" w:color="auto"/>
                            <w:right w:val="none" w:sz="0" w:space="0" w:color="auto"/>
                          </w:divBdr>
                        </w:div>
                        <w:div w:id="637536906">
                          <w:marLeft w:val="0"/>
                          <w:marRight w:val="0"/>
                          <w:marTop w:val="0"/>
                          <w:marBottom w:val="0"/>
                          <w:divBdr>
                            <w:top w:val="none" w:sz="0" w:space="0" w:color="auto"/>
                            <w:left w:val="none" w:sz="0" w:space="0" w:color="auto"/>
                            <w:bottom w:val="none" w:sz="0" w:space="0" w:color="auto"/>
                            <w:right w:val="none" w:sz="0" w:space="0" w:color="auto"/>
                          </w:divBdr>
                        </w:div>
                        <w:div w:id="830102720">
                          <w:marLeft w:val="0"/>
                          <w:marRight w:val="0"/>
                          <w:marTop w:val="0"/>
                          <w:marBottom w:val="0"/>
                          <w:divBdr>
                            <w:top w:val="none" w:sz="0" w:space="0" w:color="auto"/>
                            <w:left w:val="none" w:sz="0" w:space="0" w:color="auto"/>
                            <w:bottom w:val="none" w:sz="0" w:space="0" w:color="auto"/>
                            <w:right w:val="none" w:sz="0" w:space="0" w:color="auto"/>
                          </w:divBdr>
                        </w:div>
                        <w:div w:id="1043404847">
                          <w:marLeft w:val="0"/>
                          <w:marRight w:val="0"/>
                          <w:marTop w:val="0"/>
                          <w:marBottom w:val="0"/>
                          <w:divBdr>
                            <w:top w:val="none" w:sz="0" w:space="0" w:color="auto"/>
                            <w:left w:val="none" w:sz="0" w:space="0" w:color="auto"/>
                            <w:bottom w:val="none" w:sz="0" w:space="0" w:color="auto"/>
                            <w:right w:val="none" w:sz="0" w:space="0" w:color="auto"/>
                          </w:divBdr>
                        </w:div>
                        <w:div w:id="1266042119">
                          <w:marLeft w:val="0"/>
                          <w:marRight w:val="0"/>
                          <w:marTop w:val="0"/>
                          <w:marBottom w:val="0"/>
                          <w:divBdr>
                            <w:top w:val="none" w:sz="0" w:space="0" w:color="auto"/>
                            <w:left w:val="none" w:sz="0" w:space="0" w:color="auto"/>
                            <w:bottom w:val="none" w:sz="0" w:space="0" w:color="auto"/>
                            <w:right w:val="none" w:sz="0" w:space="0" w:color="auto"/>
                          </w:divBdr>
                        </w:div>
                        <w:div w:id="1345202421">
                          <w:marLeft w:val="0"/>
                          <w:marRight w:val="0"/>
                          <w:marTop w:val="0"/>
                          <w:marBottom w:val="0"/>
                          <w:divBdr>
                            <w:top w:val="none" w:sz="0" w:space="0" w:color="auto"/>
                            <w:left w:val="none" w:sz="0" w:space="0" w:color="auto"/>
                            <w:bottom w:val="none" w:sz="0" w:space="0" w:color="auto"/>
                            <w:right w:val="none" w:sz="0" w:space="0" w:color="auto"/>
                          </w:divBdr>
                        </w:div>
                        <w:div w:id="1435710585">
                          <w:marLeft w:val="0"/>
                          <w:marRight w:val="0"/>
                          <w:marTop w:val="0"/>
                          <w:marBottom w:val="0"/>
                          <w:divBdr>
                            <w:top w:val="none" w:sz="0" w:space="0" w:color="auto"/>
                            <w:left w:val="none" w:sz="0" w:space="0" w:color="auto"/>
                            <w:bottom w:val="none" w:sz="0" w:space="0" w:color="auto"/>
                            <w:right w:val="none" w:sz="0" w:space="0" w:color="auto"/>
                          </w:divBdr>
                        </w:div>
                        <w:div w:id="1532767982">
                          <w:marLeft w:val="0"/>
                          <w:marRight w:val="0"/>
                          <w:marTop w:val="0"/>
                          <w:marBottom w:val="0"/>
                          <w:divBdr>
                            <w:top w:val="none" w:sz="0" w:space="0" w:color="auto"/>
                            <w:left w:val="none" w:sz="0" w:space="0" w:color="auto"/>
                            <w:bottom w:val="none" w:sz="0" w:space="0" w:color="auto"/>
                            <w:right w:val="none" w:sz="0" w:space="0" w:color="auto"/>
                          </w:divBdr>
                        </w:div>
                        <w:div w:id="1739746976">
                          <w:marLeft w:val="0"/>
                          <w:marRight w:val="0"/>
                          <w:marTop w:val="0"/>
                          <w:marBottom w:val="0"/>
                          <w:divBdr>
                            <w:top w:val="none" w:sz="0" w:space="0" w:color="auto"/>
                            <w:left w:val="none" w:sz="0" w:space="0" w:color="auto"/>
                            <w:bottom w:val="none" w:sz="0" w:space="0" w:color="auto"/>
                            <w:right w:val="none" w:sz="0" w:space="0" w:color="auto"/>
                          </w:divBdr>
                        </w:div>
                        <w:div w:id="2009869427">
                          <w:marLeft w:val="0"/>
                          <w:marRight w:val="0"/>
                          <w:marTop w:val="0"/>
                          <w:marBottom w:val="0"/>
                          <w:divBdr>
                            <w:top w:val="none" w:sz="0" w:space="0" w:color="auto"/>
                            <w:left w:val="none" w:sz="0" w:space="0" w:color="auto"/>
                            <w:bottom w:val="none" w:sz="0" w:space="0" w:color="auto"/>
                            <w:right w:val="none" w:sz="0" w:space="0" w:color="auto"/>
                          </w:divBdr>
                        </w:div>
                      </w:divsChild>
                    </w:div>
                    <w:div w:id="1560895540">
                      <w:marLeft w:val="0"/>
                      <w:marRight w:val="0"/>
                      <w:marTop w:val="0"/>
                      <w:marBottom w:val="0"/>
                      <w:divBdr>
                        <w:top w:val="none" w:sz="0" w:space="0" w:color="auto"/>
                        <w:left w:val="none" w:sz="0" w:space="0" w:color="auto"/>
                        <w:bottom w:val="none" w:sz="0" w:space="0" w:color="auto"/>
                        <w:right w:val="none" w:sz="0" w:space="0" w:color="auto"/>
                      </w:divBdr>
                      <w:divsChild>
                        <w:div w:id="1112046343">
                          <w:marLeft w:val="0"/>
                          <w:marRight w:val="0"/>
                          <w:marTop w:val="0"/>
                          <w:marBottom w:val="0"/>
                          <w:divBdr>
                            <w:top w:val="none" w:sz="0" w:space="0" w:color="auto"/>
                            <w:left w:val="none" w:sz="0" w:space="0" w:color="auto"/>
                            <w:bottom w:val="none" w:sz="0" w:space="0" w:color="auto"/>
                            <w:right w:val="none" w:sz="0" w:space="0" w:color="auto"/>
                          </w:divBdr>
                        </w:div>
                        <w:div w:id="1861502772">
                          <w:marLeft w:val="0"/>
                          <w:marRight w:val="0"/>
                          <w:marTop w:val="0"/>
                          <w:marBottom w:val="0"/>
                          <w:divBdr>
                            <w:top w:val="none" w:sz="0" w:space="0" w:color="auto"/>
                            <w:left w:val="none" w:sz="0" w:space="0" w:color="auto"/>
                            <w:bottom w:val="none" w:sz="0" w:space="0" w:color="auto"/>
                            <w:right w:val="none" w:sz="0" w:space="0" w:color="auto"/>
                          </w:divBdr>
                        </w:div>
                      </w:divsChild>
                    </w:div>
                    <w:div w:id="1561095628">
                      <w:marLeft w:val="0"/>
                      <w:marRight w:val="0"/>
                      <w:marTop w:val="0"/>
                      <w:marBottom w:val="0"/>
                      <w:divBdr>
                        <w:top w:val="none" w:sz="0" w:space="0" w:color="auto"/>
                        <w:left w:val="none" w:sz="0" w:space="0" w:color="auto"/>
                        <w:bottom w:val="none" w:sz="0" w:space="0" w:color="auto"/>
                        <w:right w:val="none" w:sz="0" w:space="0" w:color="auto"/>
                      </w:divBdr>
                      <w:divsChild>
                        <w:div w:id="795215368">
                          <w:marLeft w:val="0"/>
                          <w:marRight w:val="0"/>
                          <w:marTop w:val="0"/>
                          <w:marBottom w:val="0"/>
                          <w:divBdr>
                            <w:top w:val="none" w:sz="0" w:space="0" w:color="auto"/>
                            <w:left w:val="none" w:sz="0" w:space="0" w:color="auto"/>
                            <w:bottom w:val="none" w:sz="0" w:space="0" w:color="auto"/>
                            <w:right w:val="none" w:sz="0" w:space="0" w:color="auto"/>
                          </w:divBdr>
                        </w:div>
                      </w:divsChild>
                    </w:div>
                    <w:div w:id="1581284757">
                      <w:marLeft w:val="0"/>
                      <w:marRight w:val="0"/>
                      <w:marTop w:val="0"/>
                      <w:marBottom w:val="0"/>
                      <w:divBdr>
                        <w:top w:val="none" w:sz="0" w:space="0" w:color="auto"/>
                        <w:left w:val="none" w:sz="0" w:space="0" w:color="auto"/>
                        <w:bottom w:val="none" w:sz="0" w:space="0" w:color="auto"/>
                        <w:right w:val="none" w:sz="0" w:space="0" w:color="auto"/>
                      </w:divBdr>
                      <w:divsChild>
                        <w:div w:id="74864892">
                          <w:marLeft w:val="0"/>
                          <w:marRight w:val="0"/>
                          <w:marTop w:val="0"/>
                          <w:marBottom w:val="0"/>
                          <w:divBdr>
                            <w:top w:val="none" w:sz="0" w:space="0" w:color="auto"/>
                            <w:left w:val="none" w:sz="0" w:space="0" w:color="auto"/>
                            <w:bottom w:val="none" w:sz="0" w:space="0" w:color="auto"/>
                            <w:right w:val="none" w:sz="0" w:space="0" w:color="auto"/>
                          </w:divBdr>
                        </w:div>
                      </w:divsChild>
                    </w:div>
                    <w:div w:id="1674069260">
                      <w:marLeft w:val="0"/>
                      <w:marRight w:val="0"/>
                      <w:marTop w:val="0"/>
                      <w:marBottom w:val="0"/>
                      <w:divBdr>
                        <w:top w:val="none" w:sz="0" w:space="0" w:color="auto"/>
                        <w:left w:val="none" w:sz="0" w:space="0" w:color="auto"/>
                        <w:bottom w:val="none" w:sz="0" w:space="0" w:color="auto"/>
                        <w:right w:val="none" w:sz="0" w:space="0" w:color="auto"/>
                      </w:divBdr>
                      <w:divsChild>
                        <w:div w:id="131675502">
                          <w:marLeft w:val="0"/>
                          <w:marRight w:val="0"/>
                          <w:marTop w:val="0"/>
                          <w:marBottom w:val="0"/>
                          <w:divBdr>
                            <w:top w:val="none" w:sz="0" w:space="0" w:color="auto"/>
                            <w:left w:val="none" w:sz="0" w:space="0" w:color="auto"/>
                            <w:bottom w:val="none" w:sz="0" w:space="0" w:color="auto"/>
                            <w:right w:val="none" w:sz="0" w:space="0" w:color="auto"/>
                          </w:divBdr>
                        </w:div>
                      </w:divsChild>
                    </w:div>
                    <w:div w:id="1708068084">
                      <w:marLeft w:val="0"/>
                      <w:marRight w:val="0"/>
                      <w:marTop w:val="0"/>
                      <w:marBottom w:val="0"/>
                      <w:divBdr>
                        <w:top w:val="none" w:sz="0" w:space="0" w:color="auto"/>
                        <w:left w:val="none" w:sz="0" w:space="0" w:color="auto"/>
                        <w:bottom w:val="none" w:sz="0" w:space="0" w:color="auto"/>
                        <w:right w:val="none" w:sz="0" w:space="0" w:color="auto"/>
                      </w:divBdr>
                      <w:divsChild>
                        <w:div w:id="1446580808">
                          <w:marLeft w:val="0"/>
                          <w:marRight w:val="0"/>
                          <w:marTop w:val="0"/>
                          <w:marBottom w:val="0"/>
                          <w:divBdr>
                            <w:top w:val="none" w:sz="0" w:space="0" w:color="auto"/>
                            <w:left w:val="none" w:sz="0" w:space="0" w:color="auto"/>
                            <w:bottom w:val="none" w:sz="0" w:space="0" w:color="auto"/>
                            <w:right w:val="none" w:sz="0" w:space="0" w:color="auto"/>
                          </w:divBdr>
                        </w:div>
                      </w:divsChild>
                    </w:div>
                    <w:div w:id="1713531823">
                      <w:marLeft w:val="0"/>
                      <w:marRight w:val="0"/>
                      <w:marTop w:val="0"/>
                      <w:marBottom w:val="0"/>
                      <w:divBdr>
                        <w:top w:val="none" w:sz="0" w:space="0" w:color="auto"/>
                        <w:left w:val="none" w:sz="0" w:space="0" w:color="auto"/>
                        <w:bottom w:val="none" w:sz="0" w:space="0" w:color="auto"/>
                        <w:right w:val="none" w:sz="0" w:space="0" w:color="auto"/>
                      </w:divBdr>
                      <w:divsChild>
                        <w:div w:id="78525917">
                          <w:marLeft w:val="0"/>
                          <w:marRight w:val="0"/>
                          <w:marTop w:val="0"/>
                          <w:marBottom w:val="0"/>
                          <w:divBdr>
                            <w:top w:val="none" w:sz="0" w:space="0" w:color="auto"/>
                            <w:left w:val="none" w:sz="0" w:space="0" w:color="auto"/>
                            <w:bottom w:val="none" w:sz="0" w:space="0" w:color="auto"/>
                            <w:right w:val="none" w:sz="0" w:space="0" w:color="auto"/>
                          </w:divBdr>
                        </w:div>
                      </w:divsChild>
                    </w:div>
                    <w:div w:id="1815246678">
                      <w:marLeft w:val="0"/>
                      <w:marRight w:val="0"/>
                      <w:marTop w:val="0"/>
                      <w:marBottom w:val="0"/>
                      <w:divBdr>
                        <w:top w:val="none" w:sz="0" w:space="0" w:color="auto"/>
                        <w:left w:val="none" w:sz="0" w:space="0" w:color="auto"/>
                        <w:bottom w:val="none" w:sz="0" w:space="0" w:color="auto"/>
                        <w:right w:val="none" w:sz="0" w:space="0" w:color="auto"/>
                      </w:divBdr>
                      <w:divsChild>
                        <w:div w:id="1064528646">
                          <w:marLeft w:val="0"/>
                          <w:marRight w:val="0"/>
                          <w:marTop w:val="0"/>
                          <w:marBottom w:val="0"/>
                          <w:divBdr>
                            <w:top w:val="none" w:sz="0" w:space="0" w:color="auto"/>
                            <w:left w:val="none" w:sz="0" w:space="0" w:color="auto"/>
                            <w:bottom w:val="none" w:sz="0" w:space="0" w:color="auto"/>
                            <w:right w:val="none" w:sz="0" w:space="0" w:color="auto"/>
                          </w:divBdr>
                        </w:div>
                      </w:divsChild>
                    </w:div>
                    <w:div w:id="1958371448">
                      <w:marLeft w:val="0"/>
                      <w:marRight w:val="0"/>
                      <w:marTop w:val="0"/>
                      <w:marBottom w:val="0"/>
                      <w:divBdr>
                        <w:top w:val="none" w:sz="0" w:space="0" w:color="auto"/>
                        <w:left w:val="none" w:sz="0" w:space="0" w:color="auto"/>
                        <w:bottom w:val="none" w:sz="0" w:space="0" w:color="auto"/>
                        <w:right w:val="none" w:sz="0" w:space="0" w:color="auto"/>
                      </w:divBdr>
                      <w:divsChild>
                        <w:div w:id="217282606">
                          <w:marLeft w:val="0"/>
                          <w:marRight w:val="0"/>
                          <w:marTop w:val="0"/>
                          <w:marBottom w:val="0"/>
                          <w:divBdr>
                            <w:top w:val="none" w:sz="0" w:space="0" w:color="auto"/>
                            <w:left w:val="none" w:sz="0" w:space="0" w:color="auto"/>
                            <w:bottom w:val="none" w:sz="0" w:space="0" w:color="auto"/>
                            <w:right w:val="none" w:sz="0" w:space="0" w:color="auto"/>
                          </w:divBdr>
                        </w:div>
                        <w:div w:id="637994209">
                          <w:marLeft w:val="0"/>
                          <w:marRight w:val="0"/>
                          <w:marTop w:val="0"/>
                          <w:marBottom w:val="0"/>
                          <w:divBdr>
                            <w:top w:val="none" w:sz="0" w:space="0" w:color="auto"/>
                            <w:left w:val="none" w:sz="0" w:space="0" w:color="auto"/>
                            <w:bottom w:val="none" w:sz="0" w:space="0" w:color="auto"/>
                            <w:right w:val="none" w:sz="0" w:space="0" w:color="auto"/>
                          </w:divBdr>
                        </w:div>
                        <w:div w:id="1004748737">
                          <w:marLeft w:val="0"/>
                          <w:marRight w:val="0"/>
                          <w:marTop w:val="0"/>
                          <w:marBottom w:val="0"/>
                          <w:divBdr>
                            <w:top w:val="none" w:sz="0" w:space="0" w:color="auto"/>
                            <w:left w:val="none" w:sz="0" w:space="0" w:color="auto"/>
                            <w:bottom w:val="none" w:sz="0" w:space="0" w:color="auto"/>
                            <w:right w:val="none" w:sz="0" w:space="0" w:color="auto"/>
                          </w:divBdr>
                        </w:div>
                      </w:divsChild>
                    </w:div>
                    <w:div w:id="1962690792">
                      <w:marLeft w:val="0"/>
                      <w:marRight w:val="0"/>
                      <w:marTop w:val="0"/>
                      <w:marBottom w:val="0"/>
                      <w:divBdr>
                        <w:top w:val="none" w:sz="0" w:space="0" w:color="auto"/>
                        <w:left w:val="none" w:sz="0" w:space="0" w:color="auto"/>
                        <w:bottom w:val="none" w:sz="0" w:space="0" w:color="auto"/>
                        <w:right w:val="none" w:sz="0" w:space="0" w:color="auto"/>
                      </w:divBdr>
                      <w:divsChild>
                        <w:div w:id="1232547709">
                          <w:marLeft w:val="0"/>
                          <w:marRight w:val="0"/>
                          <w:marTop w:val="0"/>
                          <w:marBottom w:val="0"/>
                          <w:divBdr>
                            <w:top w:val="none" w:sz="0" w:space="0" w:color="auto"/>
                            <w:left w:val="none" w:sz="0" w:space="0" w:color="auto"/>
                            <w:bottom w:val="none" w:sz="0" w:space="0" w:color="auto"/>
                            <w:right w:val="none" w:sz="0" w:space="0" w:color="auto"/>
                          </w:divBdr>
                        </w:div>
                      </w:divsChild>
                    </w:div>
                    <w:div w:id="1989435471">
                      <w:marLeft w:val="0"/>
                      <w:marRight w:val="0"/>
                      <w:marTop w:val="0"/>
                      <w:marBottom w:val="0"/>
                      <w:divBdr>
                        <w:top w:val="none" w:sz="0" w:space="0" w:color="auto"/>
                        <w:left w:val="none" w:sz="0" w:space="0" w:color="auto"/>
                        <w:bottom w:val="none" w:sz="0" w:space="0" w:color="auto"/>
                        <w:right w:val="none" w:sz="0" w:space="0" w:color="auto"/>
                      </w:divBdr>
                      <w:divsChild>
                        <w:div w:id="1457676100">
                          <w:marLeft w:val="0"/>
                          <w:marRight w:val="0"/>
                          <w:marTop w:val="0"/>
                          <w:marBottom w:val="0"/>
                          <w:divBdr>
                            <w:top w:val="none" w:sz="0" w:space="0" w:color="auto"/>
                            <w:left w:val="none" w:sz="0" w:space="0" w:color="auto"/>
                            <w:bottom w:val="none" w:sz="0" w:space="0" w:color="auto"/>
                            <w:right w:val="none" w:sz="0" w:space="0" w:color="auto"/>
                          </w:divBdr>
                        </w:div>
                        <w:div w:id="1761373208">
                          <w:marLeft w:val="0"/>
                          <w:marRight w:val="0"/>
                          <w:marTop w:val="0"/>
                          <w:marBottom w:val="0"/>
                          <w:divBdr>
                            <w:top w:val="none" w:sz="0" w:space="0" w:color="auto"/>
                            <w:left w:val="none" w:sz="0" w:space="0" w:color="auto"/>
                            <w:bottom w:val="none" w:sz="0" w:space="0" w:color="auto"/>
                            <w:right w:val="none" w:sz="0" w:space="0" w:color="auto"/>
                          </w:divBdr>
                        </w:div>
                        <w:div w:id="2097558604">
                          <w:marLeft w:val="0"/>
                          <w:marRight w:val="0"/>
                          <w:marTop w:val="0"/>
                          <w:marBottom w:val="0"/>
                          <w:divBdr>
                            <w:top w:val="none" w:sz="0" w:space="0" w:color="auto"/>
                            <w:left w:val="none" w:sz="0" w:space="0" w:color="auto"/>
                            <w:bottom w:val="none" w:sz="0" w:space="0" w:color="auto"/>
                            <w:right w:val="none" w:sz="0" w:space="0" w:color="auto"/>
                          </w:divBdr>
                        </w:div>
                      </w:divsChild>
                    </w:div>
                    <w:div w:id="2019771363">
                      <w:marLeft w:val="0"/>
                      <w:marRight w:val="0"/>
                      <w:marTop w:val="0"/>
                      <w:marBottom w:val="0"/>
                      <w:divBdr>
                        <w:top w:val="none" w:sz="0" w:space="0" w:color="auto"/>
                        <w:left w:val="none" w:sz="0" w:space="0" w:color="auto"/>
                        <w:bottom w:val="none" w:sz="0" w:space="0" w:color="auto"/>
                        <w:right w:val="none" w:sz="0" w:space="0" w:color="auto"/>
                      </w:divBdr>
                      <w:divsChild>
                        <w:div w:id="1085151664">
                          <w:marLeft w:val="0"/>
                          <w:marRight w:val="0"/>
                          <w:marTop w:val="0"/>
                          <w:marBottom w:val="0"/>
                          <w:divBdr>
                            <w:top w:val="none" w:sz="0" w:space="0" w:color="auto"/>
                            <w:left w:val="none" w:sz="0" w:space="0" w:color="auto"/>
                            <w:bottom w:val="none" w:sz="0" w:space="0" w:color="auto"/>
                            <w:right w:val="none" w:sz="0" w:space="0" w:color="auto"/>
                          </w:divBdr>
                        </w:div>
                      </w:divsChild>
                    </w:div>
                    <w:div w:id="2020154797">
                      <w:marLeft w:val="0"/>
                      <w:marRight w:val="0"/>
                      <w:marTop w:val="0"/>
                      <w:marBottom w:val="0"/>
                      <w:divBdr>
                        <w:top w:val="none" w:sz="0" w:space="0" w:color="auto"/>
                        <w:left w:val="none" w:sz="0" w:space="0" w:color="auto"/>
                        <w:bottom w:val="none" w:sz="0" w:space="0" w:color="auto"/>
                        <w:right w:val="none" w:sz="0" w:space="0" w:color="auto"/>
                      </w:divBdr>
                      <w:divsChild>
                        <w:div w:id="371268102">
                          <w:marLeft w:val="0"/>
                          <w:marRight w:val="0"/>
                          <w:marTop w:val="0"/>
                          <w:marBottom w:val="0"/>
                          <w:divBdr>
                            <w:top w:val="none" w:sz="0" w:space="0" w:color="auto"/>
                            <w:left w:val="none" w:sz="0" w:space="0" w:color="auto"/>
                            <w:bottom w:val="none" w:sz="0" w:space="0" w:color="auto"/>
                            <w:right w:val="none" w:sz="0" w:space="0" w:color="auto"/>
                          </w:divBdr>
                        </w:div>
                      </w:divsChild>
                    </w:div>
                    <w:div w:id="2050643827">
                      <w:marLeft w:val="0"/>
                      <w:marRight w:val="0"/>
                      <w:marTop w:val="0"/>
                      <w:marBottom w:val="0"/>
                      <w:divBdr>
                        <w:top w:val="none" w:sz="0" w:space="0" w:color="auto"/>
                        <w:left w:val="none" w:sz="0" w:space="0" w:color="auto"/>
                        <w:bottom w:val="none" w:sz="0" w:space="0" w:color="auto"/>
                        <w:right w:val="none" w:sz="0" w:space="0" w:color="auto"/>
                      </w:divBdr>
                      <w:divsChild>
                        <w:div w:id="233052112">
                          <w:marLeft w:val="0"/>
                          <w:marRight w:val="0"/>
                          <w:marTop w:val="0"/>
                          <w:marBottom w:val="0"/>
                          <w:divBdr>
                            <w:top w:val="none" w:sz="0" w:space="0" w:color="auto"/>
                            <w:left w:val="none" w:sz="0" w:space="0" w:color="auto"/>
                            <w:bottom w:val="none" w:sz="0" w:space="0" w:color="auto"/>
                            <w:right w:val="none" w:sz="0" w:space="0" w:color="auto"/>
                          </w:divBdr>
                        </w:div>
                        <w:div w:id="52671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886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4.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image" Target="media/image2.png"/><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oter" Target="footer12.xml"/><Relationship Id="rId40" Type="http://schemas.openxmlformats.org/officeDocument/2006/relationships/footer" Target="footer1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2.xml"/></Relationships>
</file>

<file path=word/_rels/footnotes.xml.rels><?xml version="1.0" encoding="UTF-8" standalone="yes"?>
<Relationships xmlns="http://schemas.openxmlformats.org/package/2006/relationships"><Relationship Id="rId8" Type="http://schemas.openxmlformats.org/officeDocument/2006/relationships/hyperlink" Target="https://www.rewi.uni-jena.de/728/forschungsprojekt-unternehmergesellschaft" TargetMode="External"/><Relationship Id="rId3" Type="http://schemas.openxmlformats.org/officeDocument/2006/relationships/hyperlink" Target="https://ec.europa.eu/transparencyinitiative/meetings/meeting.do?host=b7f75e74-dd34-4911-8942-3b84e241424d" TargetMode="External"/><Relationship Id="rId7" Type="http://schemas.openxmlformats.org/officeDocument/2006/relationships/hyperlink" Target="https://eur-lex.europa.eu/legal-content/EN/TXT/?uri=CELEX:52023SC0178" TargetMode="External"/><Relationship Id="rId12" Type="http://schemas.openxmlformats.org/officeDocument/2006/relationships/hyperlink" Target="https://eur-lex.europa.eu/eli/reg/2024/903/oj/eng" TargetMode="External"/><Relationship Id="rId2" Type="http://schemas.openxmlformats.org/officeDocument/2006/relationships/hyperlink" Target="https://ec.europa.eu/info/law/better-regulation/have-your-say/initiatives/14674-28th-regime-a-single-harmonized-set-of-rules-for-innovative-companies-throughout-the-EU_en" TargetMode="External"/><Relationship Id="rId1" Type="http://schemas.openxmlformats.org/officeDocument/2006/relationships/hyperlink" Target="https://ec.europa.eu/info/law/better-regulation/have-your-say/initiatives/14674-28th-regime-a-single-harmonized-set-of-rules-for-innovative-companies-throughout-the-EU_en" TargetMode="External"/><Relationship Id="rId6" Type="http://schemas.openxmlformats.org/officeDocument/2006/relationships/hyperlink" Target="https://oeil.europarl.europa.eu/oeil/en/procedure-file?reference=2025/2079(INL)" TargetMode="External"/><Relationship Id="rId11" Type="http://schemas.openxmlformats.org/officeDocument/2006/relationships/hyperlink" Target="https://eur-lex.europa.eu/legal-content/EN/TXT/?uri=CELEX:52025PC0838" TargetMode="External"/><Relationship Id="rId5" Type="http://schemas.openxmlformats.org/officeDocument/2006/relationships/hyperlink" Target="https://ec.europa.eu/transparency/expert-groups-register/screen/expert-groups/consult?lang=en&amp;groupID=3036" TargetMode="External"/><Relationship Id="rId10" Type="http://schemas.openxmlformats.org/officeDocument/2006/relationships/hyperlink" Target="https://www.koalitionsvertrag2025.de/sites/www.koalitionsvertrag2025.de/files/koav_2025.pdf" TargetMode="External"/><Relationship Id="rId4" Type="http://schemas.openxmlformats.org/officeDocument/2006/relationships/hyperlink" Target="https://commission.europa.eu/high-level-fora-justice-growth-and-future-eu-criminal-justice_en" TargetMode="External"/><Relationship Id="rId9" Type="http://schemas.openxmlformats.org/officeDocument/2006/relationships/hyperlink" Target="https://www.etuc.org/en/pressrelease/etuc-calls-eu-strengthen-workers-participation-european-company-bo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9" ma:contentTypeDescription="Create a new document." ma:contentTypeScope="" ma:versionID="82b02a5ac1647222daf23a197d16d234">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d55e1aaa20e9094b8ba76c5df7f4f18a"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EC_ARES_NUMBER" minOccurs="0"/>
                <xsd:element ref="ns3:EC_ARES_DATE_TRANSFERRED" minOccurs="0"/>
                <xsd:element ref="ns3:EC_ARES_TRANSFERRED_BY"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6c829f1-08f0-4772-a69f-cf6ecb4f7c4d}"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ARES_NUMBER xmlns="e0757b53-df10-4b98-9811-094c4c3e23a8">
      <Url xsi:nil="true"/>
      <Description xsi:nil="true"/>
    </EC_ARES_NUMBER>
    <EC_ARES_TRANSFERRED_BY xmlns="e0757b53-df10-4b98-9811-094c4c3e23a8" xsi:nil="true"/>
    <EC_ARES_DATE_TRANSFERRED xmlns="e0757b53-df10-4b98-9811-094c4c3e23a8" xsi:nil="true"/>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00B56-81EF-491A-A913-6B3F291CB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A6FFB0-9F5A-4066-9D4F-B23FEE88F744}">
  <ds:schemaRefs>
    <ds:schemaRef ds:uri="http://schemas.microsoft.com/sharepoint/v3/contenttype/forms"/>
  </ds:schemaRefs>
</ds:datastoreItem>
</file>

<file path=customXml/itemProps3.xml><?xml version="1.0" encoding="utf-8"?>
<ds:datastoreItem xmlns:ds="http://schemas.openxmlformats.org/officeDocument/2006/customXml" ds:itemID="{E852CA68-7D11-4E10-BEEA-2C79C2E27E1B}">
  <ds:schemaRefs>
    <ds:schemaRef ds:uri="http://schemas.microsoft.com/office/2006/documentManagement/types"/>
    <ds:schemaRef ds:uri="http://purl.org/dc/terms/"/>
    <ds:schemaRef ds:uri="541a8a8b-b856-4d35-a5c7-7f2c0ec3d499"/>
    <ds:schemaRef ds:uri="http://schemas.openxmlformats.org/package/2006/metadata/core-properties"/>
    <ds:schemaRef ds:uri="http://schemas.microsoft.com/office/2006/metadata/properties"/>
    <ds:schemaRef ds:uri="http://purl.org/dc/dcmitype/"/>
    <ds:schemaRef ds:uri="http://purl.org/dc/elements/1.1/"/>
    <ds:schemaRef ds:uri="http://schemas.microsoft.com/office/infopath/2007/PartnerControls"/>
    <ds:schemaRef ds:uri="e0757b53-df10-4b98-9811-094c4c3e23a8"/>
    <ds:schemaRef ds:uri="http://www.w3.org/XML/1998/namespace"/>
  </ds:schemaRefs>
</ds:datastoreItem>
</file>

<file path=customXml/itemProps4.xml><?xml version="1.0" encoding="utf-8"?>
<ds:datastoreItem xmlns:ds="http://schemas.openxmlformats.org/officeDocument/2006/customXml" ds:itemID="{1508B103-2034-4DC9-BAF0-9C6B56751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23775</Words>
  <Characters>135519</Characters>
  <Application>Microsoft Office Word</Application>
  <DocSecurity>0</DocSecurity>
  <Lines>1129</Lines>
  <Paragraphs>317</Paragraphs>
  <ScaleCrop>false</ScaleCrop>
  <Manager/>
  <Company/>
  <LinksUpToDate>false</LinksUpToDate>
  <CharactersWithSpaces>158977</CharactersWithSpaces>
  <SharedDoc>false</SharedDoc>
  <HLinks>
    <vt:vector size="216" baseType="variant">
      <vt:variant>
        <vt:i4>1441845</vt:i4>
      </vt:variant>
      <vt:variant>
        <vt:i4>140</vt:i4>
      </vt:variant>
      <vt:variant>
        <vt:i4>0</vt:i4>
      </vt:variant>
      <vt:variant>
        <vt:i4>5</vt:i4>
      </vt:variant>
      <vt:variant>
        <vt:lpwstr/>
      </vt:variant>
      <vt:variant>
        <vt:lpwstr>_Toc219390733</vt:lpwstr>
      </vt:variant>
      <vt:variant>
        <vt:i4>1441845</vt:i4>
      </vt:variant>
      <vt:variant>
        <vt:i4>134</vt:i4>
      </vt:variant>
      <vt:variant>
        <vt:i4>0</vt:i4>
      </vt:variant>
      <vt:variant>
        <vt:i4>5</vt:i4>
      </vt:variant>
      <vt:variant>
        <vt:lpwstr/>
      </vt:variant>
      <vt:variant>
        <vt:lpwstr>_Toc219390732</vt:lpwstr>
      </vt:variant>
      <vt:variant>
        <vt:i4>1441845</vt:i4>
      </vt:variant>
      <vt:variant>
        <vt:i4>128</vt:i4>
      </vt:variant>
      <vt:variant>
        <vt:i4>0</vt:i4>
      </vt:variant>
      <vt:variant>
        <vt:i4>5</vt:i4>
      </vt:variant>
      <vt:variant>
        <vt:lpwstr/>
      </vt:variant>
      <vt:variant>
        <vt:lpwstr>_Toc219390731</vt:lpwstr>
      </vt:variant>
      <vt:variant>
        <vt:i4>1441845</vt:i4>
      </vt:variant>
      <vt:variant>
        <vt:i4>122</vt:i4>
      </vt:variant>
      <vt:variant>
        <vt:i4>0</vt:i4>
      </vt:variant>
      <vt:variant>
        <vt:i4>5</vt:i4>
      </vt:variant>
      <vt:variant>
        <vt:lpwstr/>
      </vt:variant>
      <vt:variant>
        <vt:lpwstr>_Toc219390730</vt:lpwstr>
      </vt:variant>
      <vt:variant>
        <vt:i4>1507381</vt:i4>
      </vt:variant>
      <vt:variant>
        <vt:i4>116</vt:i4>
      </vt:variant>
      <vt:variant>
        <vt:i4>0</vt:i4>
      </vt:variant>
      <vt:variant>
        <vt:i4>5</vt:i4>
      </vt:variant>
      <vt:variant>
        <vt:lpwstr/>
      </vt:variant>
      <vt:variant>
        <vt:lpwstr>_Toc219390729</vt:lpwstr>
      </vt:variant>
      <vt:variant>
        <vt:i4>1507381</vt:i4>
      </vt:variant>
      <vt:variant>
        <vt:i4>110</vt:i4>
      </vt:variant>
      <vt:variant>
        <vt:i4>0</vt:i4>
      </vt:variant>
      <vt:variant>
        <vt:i4>5</vt:i4>
      </vt:variant>
      <vt:variant>
        <vt:lpwstr/>
      </vt:variant>
      <vt:variant>
        <vt:lpwstr>_Toc219390728</vt:lpwstr>
      </vt:variant>
      <vt:variant>
        <vt:i4>1507381</vt:i4>
      </vt:variant>
      <vt:variant>
        <vt:i4>104</vt:i4>
      </vt:variant>
      <vt:variant>
        <vt:i4>0</vt:i4>
      </vt:variant>
      <vt:variant>
        <vt:i4>5</vt:i4>
      </vt:variant>
      <vt:variant>
        <vt:lpwstr/>
      </vt:variant>
      <vt:variant>
        <vt:lpwstr>_Toc219390727</vt:lpwstr>
      </vt:variant>
      <vt:variant>
        <vt:i4>1507381</vt:i4>
      </vt:variant>
      <vt:variant>
        <vt:i4>98</vt:i4>
      </vt:variant>
      <vt:variant>
        <vt:i4>0</vt:i4>
      </vt:variant>
      <vt:variant>
        <vt:i4>5</vt:i4>
      </vt:variant>
      <vt:variant>
        <vt:lpwstr/>
      </vt:variant>
      <vt:variant>
        <vt:lpwstr>_Toc219390726</vt:lpwstr>
      </vt:variant>
      <vt:variant>
        <vt:i4>1507381</vt:i4>
      </vt:variant>
      <vt:variant>
        <vt:i4>92</vt:i4>
      </vt:variant>
      <vt:variant>
        <vt:i4>0</vt:i4>
      </vt:variant>
      <vt:variant>
        <vt:i4>5</vt:i4>
      </vt:variant>
      <vt:variant>
        <vt:lpwstr/>
      </vt:variant>
      <vt:variant>
        <vt:lpwstr>_Toc219390725</vt:lpwstr>
      </vt:variant>
      <vt:variant>
        <vt:i4>1507381</vt:i4>
      </vt:variant>
      <vt:variant>
        <vt:i4>86</vt:i4>
      </vt:variant>
      <vt:variant>
        <vt:i4>0</vt:i4>
      </vt:variant>
      <vt:variant>
        <vt:i4>5</vt:i4>
      </vt:variant>
      <vt:variant>
        <vt:lpwstr/>
      </vt:variant>
      <vt:variant>
        <vt:lpwstr>_Toc219390724</vt:lpwstr>
      </vt:variant>
      <vt:variant>
        <vt:i4>1507381</vt:i4>
      </vt:variant>
      <vt:variant>
        <vt:i4>80</vt:i4>
      </vt:variant>
      <vt:variant>
        <vt:i4>0</vt:i4>
      </vt:variant>
      <vt:variant>
        <vt:i4>5</vt:i4>
      </vt:variant>
      <vt:variant>
        <vt:lpwstr/>
      </vt:variant>
      <vt:variant>
        <vt:lpwstr>_Toc219390723</vt:lpwstr>
      </vt:variant>
      <vt:variant>
        <vt:i4>1507381</vt:i4>
      </vt:variant>
      <vt:variant>
        <vt:i4>74</vt:i4>
      </vt:variant>
      <vt:variant>
        <vt:i4>0</vt:i4>
      </vt:variant>
      <vt:variant>
        <vt:i4>5</vt:i4>
      </vt:variant>
      <vt:variant>
        <vt:lpwstr/>
      </vt:variant>
      <vt:variant>
        <vt:lpwstr>_Toc219390722</vt:lpwstr>
      </vt:variant>
      <vt:variant>
        <vt:i4>1507381</vt:i4>
      </vt:variant>
      <vt:variant>
        <vt:i4>68</vt:i4>
      </vt:variant>
      <vt:variant>
        <vt:i4>0</vt:i4>
      </vt:variant>
      <vt:variant>
        <vt:i4>5</vt:i4>
      </vt:variant>
      <vt:variant>
        <vt:lpwstr/>
      </vt:variant>
      <vt:variant>
        <vt:lpwstr>_Toc219390721</vt:lpwstr>
      </vt:variant>
      <vt:variant>
        <vt:i4>1507381</vt:i4>
      </vt:variant>
      <vt:variant>
        <vt:i4>62</vt:i4>
      </vt:variant>
      <vt:variant>
        <vt:i4>0</vt:i4>
      </vt:variant>
      <vt:variant>
        <vt:i4>5</vt:i4>
      </vt:variant>
      <vt:variant>
        <vt:lpwstr/>
      </vt:variant>
      <vt:variant>
        <vt:lpwstr>_Toc219390720</vt:lpwstr>
      </vt:variant>
      <vt:variant>
        <vt:i4>1310773</vt:i4>
      </vt:variant>
      <vt:variant>
        <vt:i4>56</vt:i4>
      </vt:variant>
      <vt:variant>
        <vt:i4>0</vt:i4>
      </vt:variant>
      <vt:variant>
        <vt:i4>5</vt:i4>
      </vt:variant>
      <vt:variant>
        <vt:lpwstr/>
      </vt:variant>
      <vt:variant>
        <vt:lpwstr>_Toc219390719</vt:lpwstr>
      </vt:variant>
      <vt:variant>
        <vt:i4>1310773</vt:i4>
      </vt:variant>
      <vt:variant>
        <vt:i4>50</vt:i4>
      </vt:variant>
      <vt:variant>
        <vt:i4>0</vt:i4>
      </vt:variant>
      <vt:variant>
        <vt:i4>5</vt:i4>
      </vt:variant>
      <vt:variant>
        <vt:lpwstr/>
      </vt:variant>
      <vt:variant>
        <vt:lpwstr>_Toc219390718</vt:lpwstr>
      </vt:variant>
      <vt:variant>
        <vt:i4>1310773</vt:i4>
      </vt:variant>
      <vt:variant>
        <vt:i4>44</vt:i4>
      </vt:variant>
      <vt:variant>
        <vt:i4>0</vt:i4>
      </vt:variant>
      <vt:variant>
        <vt:i4>5</vt:i4>
      </vt:variant>
      <vt:variant>
        <vt:lpwstr/>
      </vt:variant>
      <vt:variant>
        <vt:lpwstr>_Toc219390717</vt:lpwstr>
      </vt:variant>
      <vt:variant>
        <vt:i4>1310773</vt:i4>
      </vt:variant>
      <vt:variant>
        <vt:i4>38</vt:i4>
      </vt:variant>
      <vt:variant>
        <vt:i4>0</vt:i4>
      </vt:variant>
      <vt:variant>
        <vt:i4>5</vt:i4>
      </vt:variant>
      <vt:variant>
        <vt:lpwstr/>
      </vt:variant>
      <vt:variant>
        <vt:lpwstr>_Toc219390716</vt:lpwstr>
      </vt:variant>
      <vt:variant>
        <vt:i4>1310773</vt:i4>
      </vt:variant>
      <vt:variant>
        <vt:i4>32</vt:i4>
      </vt:variant>
      <vt:variant>
        <vt:i4>0</vt:i4>
      </vt:variant>
      <vt:variant>
        <vt:i4>5</vt:i4>
      </vt:variant>
      <vt:variant>
        <vt:lpwstr/>
      </vt:variant>
      <vt:variant>
        <vt:lpwstr>_Toc219390715</vt:lpwstr>
      </vt:variant>
      <vt:variant>
        <vt:i4>1310773</vt:i4>
      </vt:variant>
      <vt:variant>
        <vt:i4>26</vt:i4>
      </vt:variant>
      <vt:variant>
        <vt:i4>0</vt:i4>
      </vt:variant>
      <vt:variant>
        <vt:i4>5</vt:i4>
      </vt:variant>
      <vt:variant>
        <vt:lpwstr/>
      </vt:variant>
      <vt:variant>
        <vt:lpwstr>_Toc219390714</vt:lpwstr>
      </vt:variant>
      <vt:variant>
        <vt:i4>1310773</vt:i4>
      </vt:variant>
      <vt:variant>
        <vt:i4>20</vt:i4>
      </vt:variant>
      <vt:variant>
        <vt:i4>0</vt:i4>
      </vt:variant>
      <vt:variant>
        <vt:i4>5</vt:i4>
      </vt:variant>
      <vt:variant>
        <vt:lpwstr/>
      </vt:variant>
      <vt:variant>
        <vt:lpwstr>_Toc219390713</vt:lpwstr>
      </vt:variant>
      <vt:variant>
        <vt:i4>1310773</vt:i4>
      </vt:variant>
      <vt:variant>
        <vt:i4>14</vt:i4>
      </vt:variant>
      <vt:variant>
        <vt:i4>0</vt:i4>
      </vt:variant>
      <vt:variant>
        <vt:i4>5</vt:i4>
      </vt:variant>
      <vt:variant>
        <vt:lpwstr/>
      </vt:variant>
      <vt:variant>
        <vt:lpwstr>_Toc219390712</vt:lpwstr>
      </vt:variant>
      <vt:variant>
        <vt:i4>1310773</vt:i4>
      </vt:variant>
      <vt:variant>
        <vt:i4>8</vt:i4>
      </vt:variant>
      <vt:variant>
        <vt:i4>0</vt:i4>
      </vt:variant>
      <vt:variant>
        <vt:i4>5</vt:i4>
      </vt:variant>
      <vt:variant>
        <vt:lpwstr/>
      </vt:variant>
      <vt:variant>
        <vt:lpwstr>_Toc219390711</vt:lpwstr>
      </vt:variant>
      <vt:variant>
        <vt:i4>1310773</vt:i4>
      </vt:variant>
      <vt:variant>
        <vt:i4>2</vt:i4>
      </vt:variant>
      <vt:variant>
        <vt:i4>0</vt:i4>
      </vt:variant>
      <vt:variant>
        <vt:i4>5</vt:i4>
      </vt:variant>
      <vt:variant>
        <vt:lpwstr/>
      </vt:variant>
      <vt:variant>
        <vt:lpwstr>_Toc219390710</vt:lpwstr>
      </vt:variant>
      <vt:variant>
        <vt:i4>1704025</vt:i4>
      </vt:variant>
      <vt:variant>
        <vt:i4>33</vt:i4>
      </vt:variant>
      <vt:variant>
        <vt:i4>0</vt:i4>
      </vt:variant>
      <vt:variant>
        <vt:i4>5</vt:i4>
      </vt:variant>
      <vt:variant>
        <vt:lpwstr>https://eur-lex.europa.eu/eli/reg/2024/903/oj/eng</vt:lpwstr>
      </vt:variant>
      <vt:variant>
        <vt:lpwstr/>
      </vt:variant>
      <vt:variant>
        <vt:i4>1507353</vt:i4>
      </vt:variant>
      <vt:variant>
        <vt:i4>30</vt:i4>
      </vt:variant>
      <vt:variant>
        <vt:i4>0</vt:i4>
      </vt:variant>
      <vt:variant>
        <vt:i4>5</vt:i4>
      </vt:variant>
      <vt:variant>
        <vt:lpwstr>https://eur-lex.europa.eu/legal-content/EN/TXT/?uri=CELEX:52025PC0838</vt:lpwstr>
      </vt:variant>
      <vt:variant>
        <vt:lpwstr/>
      </vt:variant>
      <vt:variant>
        <vt:i4>2555912</vt:i4>
      </vt:variant>
      <vt:variant>
        <vt:i4>27</vt:i4>
      </vt:variant>
      <vt:variant>
        <vt:i4>0</vt:i4>
      </vt:variant>
      <vt:variant>
        <vt:i4>5</vt:i4>
      </vt:variant>
      <vt:variant>
        <vt:lpwstr>https://www.koalitionsvertrag2025.de/sites/www.koalitionsvertrag2025.de/files/koav_2025.pdf</vt:lpwstr>
      </vt:variant>
      <vt:variant>
        <vt:lpwstr/>
      </vt:variant>
      <vt:variant>
        <vt:i4>3539001</vt:i4>
      </vt:variant>
      <vt:variant>
        <vt:i4>24</vt:i4>
      </vt:variant>
      <vt:variant>
        <vt:i4>0</vt:i4>
      </vt:variant>
      <vt:variant>
        <vt:i4>5</vt:i4>
      </vt:variant>
      <vt:variant>
        <vt:lpwstr>https://www.etuc.org/en/pressrelease/etuc-calls-eu-strengthen-workers-participation-european-company-boards</vt:lpwstr>
      </vt:variant>
      <vt:variant>
        <vt:lpwstr/>
      </vt:variant>
      <vt:variant>
        <vt:i4>6291488</vt:i4>
      </vt:variant>
      <vt:variant>
        <vt:i4>21</vt:i4>
      </vt:variant>
      <vt:variant>
        <vt:i4>0</vt:i4>
      </vt:variant>
      <vt:variant>
        <vt:i4>5</vt:i4>
      </vt:variant>
      <vt:variant>
        <vt:lpwstr>https://www.rewi.uni-jena.de/728/forschungsprojekt-unternehmergesellschaft</vt:lpwstr>
      </vt:variant>
      <vt:variant>
        <vt:lpwstr/>
      </vt:variant>
      <vt:variant>
        <vt:i4>1048598</vt:i4>
      </vt:variant>
      <vt:variant>
        <vt:i4>18</vt:i4>
      </vt:variant>
      <vt:variant>
        <vt:i4>0</vt:i4>
      </vt:variant>
      <vt:variant>
        <vt:i4>5</vt:i4>
      </vt:variant>
      <vt:variant>
        <vt:lpwstr>https://eur-lex.europa.eu/legal-content/EN/TXT/?uri=CELEX:52023SC0178</vt:lpwstr>
      </vt:variant>
      <vt:variant>
        <vt:lpwstr/>
      </vt:variant>
      <vt:variant>
        <vt:i4>3735590</vt:i4>
      </vt:variant>
      <vt:variant>
        <vt:i4>15</vt:i4>
      </vt:variant>
      <vt:variant>
        <vt:i4>0</vt:i4>
      </vt:variant>
      <vt:variant>
        <vt:i4>5</vt:i4>
      </vt:variant>
      <vt:variant>
        <vt:lpwstr>https://oeil.europarl.europa.eu/oeil/en/procedure-file?reference=2025/2079(INL)</vt:lpwstr>
      </vt:variant>
      <vt:variant>
        <vt:lpwstr/>
      </vt:variant>
      <vt:variant>
        <vt:i4>8126518</vt:i4>
      </vt:variant>
      <vt:variant>
        <vt:i4>12</vt:i4>
      </vt:variant>
      <vt:variant>
        <vt:i4>0</vt:i4>
      </vt:variant>
      <vt:variant>
        <vt:i4>5</vt:i4>
      </vt:variant>
      <vt:variant>
        <vt:lpwstr>https://ec.europa.eu/transparency/expert-groups-register/screen/expert-groups/consult?lang=en&amp;groupID=3036</vt:lpwstr>
      </vt:variant>
      <vt:variant>
        <vt:lpwstr/>
      </vt:variant>
      <vt:variant>
        <vt:i4>1900647</vt:i4>
      </vt:variant>
      <vt:variant>
        <vt:i4>9</vt:i4>
      </vt:variant>
      <vt:variant>
        <vt:i4>0</vt:i4>
      </vt:variant>
      <vt:variant>
        <vt:i4>5</vt:i4>
      </vt:variant>
      <vt:variant>
        <vt:lpwstr>https://commission.europa.eu/high-level-fora-justice-growth-and-future-eu-criminal-justice_en</vt:lpwstr>
      </vt:variant>
      <vt:variant>
        <vt:lpwstr/>
      </vt:variant>
      <vt:variant>
        <vt:i4>4390928</vt:i4>
      </vt:variant>
      <vt:variant>
        <vt:i4>6</vt:i4>
      </vt:variant>
      <vt:variant>
        <vt:i4>0</vt:i4>
      </vt:variant>
      <vt:variant>
        <vt:i4>5</vt:i4>
      </vt:variant>
      <vt:variant>
        <vt:lpwstr>https://ec.europa.eu/transparencyinitiative/meetings/meeting.do?host=b7f75e74-dd34-4911-8942-3b84e241424d</vt:lpwstr>
      </vt:variant>
      <vt:variant>
        <vt:lpwstr/>
      </vt:variant>
      <vt:variant>
        <vt:i4>655473</vt:i4>
      </vt:variant>
      <vt:variant>
        <vt:i4>3</vt:i4>
      </vt:variant>
      <vt:variant>
        <vt:i4>0</vt:i4>
      </vt:variant>
      <vt:variant>
        <vt:i4>5</vt:i4>
      </vt:variant>
      <vt:variant>
        <vt:lpwstr>https://ec.europa.eu/info/law/better-regulation/have-your-say/initiatives/14674-28th-regime-a-single-harmonized-set-of-rules-for-innovative-companies-throughout-the-EU_en</vt:lpwstr>
      </vt:variant>
      <vt:variant>
        <vt:lpwstr/>
      </vt:variant>
      <vt:variant>
        <vt:i4>655473</vt:i4>
      </vt:variant>
      <vt:variant>
        <vt:i4>0</vt:i4>
      </vt:variant>
      <vt:variant>
        <vt:i4>0</vt:i4>
      </vt:variant>
      <vt:variant>
        <vt:i4>5</vt:i4>
      </vt:variant>
      <vt:variant>
        <vt:lpwstr>https://ec.europa.eu/info/law/better-regulation/have-your-say/initiatives/14674-28th-regime-a-single-harmonized-set-of-rules-for-innovative-companies-throughout-the-EU_en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2026-03-17T21:48:00Z</cp:lastPrinted>
  <dcterms:created xsi:type="dcterms:W3CDTF">2026-03-17T21:47:00Z</dcterms:created>
  <dcterms:modified xsi:type="dcterms:W3CDTF">2026-03-17T22:22:00Z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2026-03-17T14:14:26Z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3412e131-86dc-4757-950b-a8e03df5cb22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TaxKeyword">
    <vt:lpwstr/>
  </property>
  <property fmtid="{D5CDD505-2E9C-101B-9397-08002B2CF9AE}" pid="11" name="Part">
    <vt:lpwstr>2</vt:lpwstr>
  </property>
  <property fmtid="{D5CDD505-2E9C-101B-9397-08002B2CF9AE}" pid="12" name="Last edited using">
    <vt:lpwstr>LW 9.2, Build 20250828</vt:lpwstr>
  </property>
  <property fmtid="{D5CDD505-2E9C-101B-9397-08002B2CF9AE}" pid="13" name="MediaServiceImageTags">
    <vt:lpwstr/>
  </property>
  <property fmtid="{D5CDD505-2E9C-101B-9397-08002B2CF9AE}" pid="14" name="ContentTypeId">
    <vt:lpwstr>0x010100087E4EC354ADFB40AC5D4FC129E379BA</vt:lpwstr>
  </property>
  <property fmtid="{D5CDD505-2E9C-101B-9397-08002B2CF9AE}" pid="15" name="Responsible unit">
    <vt:lpwstr/>
  </property>
  <property fmtid="{D5CDD505-2E9C-101B-9397-08002B2CF9AE}" pid="16" name="Created using">
    <vt:lpwstr>LW 7.0.1, Build 20190916</vt:lpwstr>
  </property>
  <property fmtid="{D5CDD505-2E9C-101B-9397-08002B2CF9AE}" pid="17" name="Total parts">
    <vt:lpwstr>3</vt:lpwstr>
  </property>
  <property fmtid="{D5CDD505-2E9C-101B-9397-08002B2CF9AE}" pid="18" name="DocStatus">
    <vt:lpwstr>Green</vt:lpwstr>
  </property>
  <property fmtid="{D5CDD505-2E9C-101B-9397-08002B2CF9AE}" pid="19" name="Level of sensitivity">
    <vt:lpwstr>Standard treatment</vt:lpwstr>
  </property>
  <property fmtid="{D5CDD505-2E9C-101B-9397-08002B2CF9AE}" pid="20" name="CPTemplateID">
    <vt:lpwstr>CP-026</vt:lpwstr>
  </property>
</Properties>
</file>